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D8" w:rsidRDefault="006672A2" w:rsidP="00104AD8">
      <w:pPr>
        <w:rPr>
          <w:rFonts w:eastAsia="MS Mincho"/>
          <w:noProof/>
          <w:sz w:val="44"/>
          <w:szCs w:val="44"/>
        </w:rPr>
      </w:pPr>
      <w:r>
        <w:rPr>
          <w:rFonts w:eastAsia="MS Mincho"/>
          <w:noProof/>
          <w:sz w:val="44"/>
          <w:szCs w:val="44"/>
        </w:rPr>
        <w:t>Environmental Impact Assessmen</w:t>
      </w:r>
      <w:r w:rsidR="00656F31">
        <w:rPr>
          <w:rFonts w:eastAsia="MS Mincho"/>
          <w:noProof/>
          <w:sz w:val="44"/>
          <w:szCs w:val="44"/>
        </w:rPr>
        <w:t xml:space="preserve">t of </w:t>
      </w:r>
      <w:r w:rsidR="00104AD8">
        <w:rPr>
          <w:rFonts w:eastAsia="MS Mincho"/>
          <w:noProof/>
          <w:sz w:val="44"/>
          <w:szCs w:val="44"/>
        </w:rPr>
        <w:t xml:space="preserve">a </w:t>
      </w:r>
    </w:p>
    <w:p w:rsidR="00765596" w:rsidRPr="00765596" w:rsidRDefault="00656F31" w:rsidP="00104AD8">
      <w:pPr>
        <w:rPr>
          <w:rFonts w:eastAsia="MS Mincho"/>
          <w:noProof/>
          <w:sz w:val="44"/>
          <w:szCs w:val="44"/>
        </w:rPr>
      </w:pPr>
      <w:r>
        <w:rPr>
          <w:rFonts w:eastAsia="MS Mincho"/>
          <w:noProof/>
          <w:sz w:val="44"/>
          <w:szCs w:val="44"/>
        </w:rPr>
        <w:t>Collective</w:t>
      </w:r>
      <w:r w:rsidR="00FA6336" w:rsidRPr="00FA6336">
        <w:rPr>
          <w:rFonts w:eastAsia="MS Mincho"/>
          <w:noProof/>
          <w:sz w:val="44"/>
          <w:szCs w:val="44"/>
        </w:rPr>
        <w:t xml:space="preserve"> Solar</w:t>
      </w:r>
      <w:r>
        <w:rPr>
          <w:rFonts w:eastAsia="MS Mincho"/>
          <w:noProof/>
          <w:sz w:val="44"/>
          <w:szCs w:val="44"/>
        </w:rPr>
        <w:t xml:space="preserve"> Water Heater System </w:t>
      </w:r>
      <w:r w:rsidR="00104AD8">
        <w:rPr>
          <w:rFonts w:eastAsia="MS Mincho"/>
          <w:noProof/>
          <w:sz w:val="44"/>
          <w:szCs w:val="44"/>
        </w:rPr>
        <w:t>in West Bank</w:t>
      </w:r>
    </w:p>
    <w:p w:rsidR="009303D9" w:rsidRPr="00FF5C34" w:rsidRDefault="000A2A32" w:rsidP="00656F31">
      <w:pPr>
        <w:rPr>
          <w:rFonts w:eastAsia="MS Mincho"/>
          <w:noProof/>
          <w:sz w:val="44"/>
          <w:szCs w:val="44"/>
        </w:rPr>
      </w:pPr>
      <w:r>
        <w:rPr>
          <w:i/>
          <w:iCs/>
        </w:rPr>
        <w:t xml:space="preserve">Aysar </w:t>
      </w:r>
      <w:r w:rsidR="009A7AE4" w:rsidRPr="000A2A32">
        <w:rPr>
          <w:i/>
          <w:iCs/>
        </w:rPr>
        <w:t>Yasi</w:t>
      </w:r>
      <w:r w:rsidR="00FF5C34" w:rsidRPr="00FF5C34">
        <w:rPr>
          <w:i/>
          <w:iCs/>
        </w:rPr>
        <w:t xml:space="preserve">n </w:t>
      </w:r>
    </w:p>
    <w:p w:rsidR="009303D9" w:rsidRPr="005B520E" w:rsidRDefault="009A7AE4" w:rsidP="00FF5C34">
      <w:pPr>
        <w:pStyle w:val="Affiliation"/>
      </w:pPr>
      <w:r>
        <w:t>An-</w:t>
      </w:r>
      <w:proofErr w:type="spellStart"/>
      <w:r>
        <w:t>Najah</w:t>
      </w:r>
      <w:proofErr w:type="spellEnd"/>
      <w:r>
        <w:t xml:space="preserve"> National University</w:t>
      </w:r>
      <w:r w:rsidR="00FF5C34" w:rsidRPr="00FF5C34">
        <w:t xml:space="preserve"> </w:t>
      </w:r>
      <w:r w:rsidR="00656F31">
        <w:t>- Energy Engineering and Environmental Engineering</w:t>
      </w:r>
    </w:p>
    <w:p w:rsidR="009303D9" w:rsidRPr="005B520E" w:rsidRDefault="009A7AE4" w:rsidP="00FF5C34">
      <w:pPr>
        <w:pStyle w:val="Affiliation"/>
      </w:pPr>
      <w:r>
        <w:t>Nablus, Palestine</w:t>
      </w:r>
      <w:r w:rsidR="00FF5C34">
        <w:t xml:space="preserve"> - </w:t>
      </w:r>
      <w:r>
        <w:t>Aysar.yasin@najah.edu</w:t>
      </w:r>
    </w:p>
    <w:p w:rsidR="009303D9" w:rsidRPr="005B520E" w:rsidRDefault="009303D9">
      <w:pPr>
        <w:pStyle w:val="Affiliation"/>
      </w:pPr>
    </w:p>
    <w:p w:rsidR="009303D9" w:rsidRPr="005B520E" w:rsidRDefault="009303D9"/>
    <w:p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rsidR="00377C5E" w:rsidRPr="006E026B" w:rsidRDefault="009303D9" w:rsidP="006E026B">
      <w:pPr>
        <w:pStyle w:val="Abstract"/>
        <w:rPr>
          <w:b w:val="0"/>
          <w:bCs w:val="0"/>
          <w:i/>
          <w:iCs/>
        </w:rPr>
      </w:pPr>
      <w:r>
        <w:rPr>
          <w:i/>
          <w:iCs/>
        </w:rPr>
        <w:t>Abstract</w:t>
      </w:r>
      <w:r>
        <w:t>—</w:t>
      </w:r>
    </w:p>
    <w:p w:rsidR="006E026B" w:rsidRPr="006E026B" w:rsidRDefault="00DC579F" w:rsidP="00CD758A">
      <w:pPr>
        <w:autoSpaceDE w:val="0"/>
        <w:autoSpaceDN w:val="0"/>
        <w:adjustRightInd w:val="0"/>
        <w:jc w:val="both"/>
        <w:rPr>
          <w:b/>
          <w:bCs/>
          <w:sz w:val="18"/>
          <w:szCs w:val="18"/>
        </w:rPr>
      </w:pPr>
      <w:r>
        <w:rPr>
          <w:b/>
          <w:bCs/>
          <w:sz w:val="18"/>
          <w:szCs w:val="18"/>
        </w:rPr>
        <w:t xml:space="preserve">West Bank and Gaza strip suffer from huge shortage of conventional energy sources and at the same time own </w:t>
      </w:r>
      <w:r w:rsidR="00965DEA" w:rsidRPr="00965DEA">
        <w:rPr>
          <w:b/>
          <w:bCs/>
          <w:sz w:val="18"/>
          <w:szCs w:val="18"/>
        </w:rPr>
        <w:t>high potential of solar energy radiations</w:t>
      </w:r>
      <w:r w:rsidR="00DB019B">
        <w:rPr>
          <w:b/>
          <w:bCs/>
          <w:sz w:val="18"/>
          <w:szCs w:val="18"/>
        </w:rPr>
        <w:t>. The solar radiation can mainly be utilized for electricity generation using PV technology and for water heating using solar water heaters</w:t>
      </w:r>
      <w:r w:rsidR="004F081F">
        <w:rPr>
          <w:b/>
          <w:bCs/>
          <w:sz w:val="18"/>
          <w:szCs w:val="18"/>
        </w:rPr>
        <w:t xml:space="preserve"> technology</w:t>
      </w:r>
      <w:r w:rsidR="00DB019B">
        <w:rPr>
          <w:b/>
          <w:bCs/>
          <w:sz w:val="18"/>
          <w:szCs w:val="18"/>
        </w:rPr>
        <w:t xml:space="preserve">.  </w:t>
      </w:r>
      <w:r w:rsidR="00965DEA">
        <w:rPr>
          <w:b/>
          <w:bCs/>
          <w:sz w:val="18"/>
          <w:szCs w:val="18"/>
        </w:rPr>
        <w:t xml:space="preserve">Solar water heaters </w:t>
      </w:r>
      <w:r w:rsidR="00FD1CE5">
        <w:rPr>
          <w:b/>
          <w:bCs/>
          <w:sz w:val="18"/>
          <w:szCs w:val="18"/>
        </w:rPr>
        <w:t xml:space="preserve">(SWH) </w:t>
      </w:r>
      <w:r w:rsidR="00965DEA">
        <w:rPr>
          <w:b/>
          <w:bCs/>
          <w:sz w:val="18"/>
          <w:szCs w:val="18"/>
        </w:rPr>
        <w:t xml:space="preserve">are one of the most important applications utilized in </w:t>
      </w:r>
      <w:r w:rsidR="00DB019B">
        <w:rPr>
          <w:b/>
          <w:bCs/>
          <w:sz w:val="18"/>
          <w:szCs w:val="18"/>
        </w:rPr>
        <w:t>West Bank and Gaza</w:t>
      </w:r>
      <w:r w:rsidR="004F081F">
        <w:rPr>
          <w:b/>
          <w:bCs/>
          <w:sz w:val="18"/>
          <w:szCs w:val="18"/>
        </w:rPr>
        <w:t xml:space="preserve"> strip</w:t>
      </w:r>
      <w:r w:rsidR="00965DEA">
        <w:rPr>
          <w:b/>
          <w:bCs/>
          <w:sz w:val="18"/>
          <w:szCs w:val="18"/>
        </w:rPr>
        <w:t xml:space="preserve">. This paper assesses </w:t>
      </w:r>
      <w:r w:rsidR="00DB019B">
        <w:rPr>
          <w:b/>
          <w:bCs/>
          <w:sz w:val="18"/>
          <w:szCs w:val="18"/>
        </w:rPr>
        <w:t xml:space="preserve">the environmental impact of </w:t>
      </w:r>
      <w:r w:rsidR="00965DEA">
        <w:rPr>
          <w:b/>
          <w:bCs/>
          <w:sz w:val="18"/>
          <w:szCs w:val="18"/>
        </w:rPr>
        <w:t xml:space="preserve">implementation of </w:t>
      </w:r>
      <w:r w:rsidR="004F081F">
        <w:rPr>
          <w:b/>
          <w:bCs/>
          <w:sz w:val="18"/>
          <w:szCs w:val="18"/>
        </w:rPr>
        <w:t xml:space="preserve">collective </w:t>
      </w:r>
      <w:r w:rsidR="00965DEA">
        <w:rPr>
          <w:b/>
          <w:bCs/>
          <w:sz w:val="18"/>
          <w:szCs w:val="18"/>
        </w:rPr>
        <w:t xml:space="preserve">SWH systems in health sector through a case study </w:t>
      </w:r>
      <w:r w:rsidR="004F081F">
        <w:rPr>
          <w:b/>
          <w:bCs/>
          <w:sz w:val="18"/>
          <w:szCs w:val="18"/>
        </w:rPr>
        <w:t>of a hospital located in Nablus/West B</w:t>
      </w:r>
      <w:r w:rsidR="00965DEA">
        <w:rPr>
          <w:b/>
          <w:bCs/>
          <w:sz w:val="18"/>
          <w:szCs w:val="18"/>
        </w:rPr>
        <w:t xml:space="preserve">ank. </w:t>
      </w:r>
      <w:r w:rsidR="00DB019B">
        <w:rPr>
          <w:b/>
          <w:bCs/>
          <w:sz w:val="18"/>
          <w:szCs w:val="18"/>
        </w:rPr>
        <w:t xml:space="preserve"> </w:t>
      </w:r>
      <w:r w:rsidR="006E026B" w:rsidRPr="006E026B">
        <w:rPr>
          <w:b/>
          <w:bCs/>
          <w:sz w:val="18"/>
          <w:szCs w:val="18"/>
        </w:rPr>
        <w:t>A</w:t>
      </w:r>
      <w:r w:rsidR="006A24B6">
        <w:rPr>
          <w:b/>
          <w:bCs/>
          <w:sz w:val="18"/>
          <w:szCs w:val="18"/>
        </w:rPr>
        <w:t xml:space="preserve"> collective SWH</w:t>
      </w:r>
      <w:r w:rsidR="006E026B" w:rsidRPr="006E026B">
        <w:rPr>
          <w:b/>
          <w:bCs/>
          <w:sz w:val="18"/>
          <w:szCs w:val="18"/>
        </w:rPr>
        <w:t xml:space="preserve"> system supplemented with auxiliar</w:t>
      </w:r>
      <w:r w:rsidR="00965DEA">
        <w:rPr>
          <w:b/>
          <w:bCs/>
          <w:sz w:val="18"/>
          <w:szCs w:val="18"/>
        </w:rPr>
        <w:t xml:space="preserve">y heater for </w:t>
      </w:r>
      <w:r w:rsidR="006A24B6">
        <w:rPr>
          <w:b/>
          <w:bCs/>
          <w:sz w:val="18"/>
          <w:szCs w:val="18"/>
        </w:rPr>
        <w:t>a</w:t>
      </w:r>
      <w:r w:rsidR="00965DEA">
        <w:rPr>
          <w:b/>
          <w:bCs/>
          <w:sz w:val="18"/>
          <w:szCs w:val="18"/>
        </w:rPr>
        <w:t xml:space="preserve"> </w:t>
      </w:r>
      <w:r w:rsidR="006E026B" w:rsidRPr="006E026B">
        <w:rPr>
          <w:b/>
          <w:bCs/>
          <w:sz w:val="18"/>
          <w:szCs w:val="18"/>
        </w:rPr>
        <w:t>h</w:t>
      </w:r>
      <w:r w:rsidR="00965DEA">
        <w:rPr>
          <w:b/>
          <w:bCs/>
          <w:sz w:val="18"/>
          <w:szCs w:val="18"/>
        </w:rPr>
        <w:t xml:space="preserve">ospital is </w:t>
      </w:r>
      <w:r w:rsidR="006E026B" w:rsidRPr="006E026B">
        <w:rPr>
          <w:b/>
          <w:bCs/>
          <w:sz w:val="18"/>
          <w:szCs w:val="18"/>
        </w:rPr>
        <w:t xml:space="preserve">designed in this study. The hospital demand for hot water is about 5500 </w:t>
      </w:r>
      <w:r w:rsidR="00965DEA" w:rsidRPr="006E026B">
        <w:rPr>
          <w:b/>
          <w:bCs/>
          <w:sz w:val="18"/>
          <w:szCs w:val="18"/>
        </w:rPr>
        <w:t>liters</w:t>
      </w:r>
      <w:r w:rsidR="006E026B" w:rsidRPr="006E026B">
        <w:rPr>
          <w:b/>
          <w:bCs/>
          <w:sz w:val="18"/>
          <w:szCs w:val="18"/>
        </w:rPr>
        <w:t xml:space="preserve"> /day.</w:t>
      </w:r>
      <w:r w:rsidR="00965DEA">
        <w:rPr>
          <w:b/>
          <w:bCs/>
          <w:sz w:val="18"/>
          <w:szCs w:val="18"/>
        </w:rPr>
        <w:t xml:space="preserve"> </w:t>
      </w:r>
      <w:r w:rsidR="006E026B" w:rsidRPr="006E026B">
        <w:rPr>
          <w:b/>
          <w:bCs/>
          <w:sz w:val="18"/>
          <w:szCs w:val="18"/>
        </w:rPr>
        <w:t xml:space="preserve">Indirect closed loop forced SWH with water storage tanks are used. Auxiliary water heating is to be provided via diesel fueled boiler.  </w:t>
      </w:r>
    </w:p>
    <w:p w:rsidR="005B7657" w:rsidRPr="00CD758A" w:rsidRDefault="00637870" w:rsidP="00CD758A">
      <w:pPr>
        <w:pStyle w:val="topictext"/>
        <w:jc w:val="both"/>
        <w:rPr>
          <w:rFonts w:eastAsia="SimSun"/>
          <w:b/>
          <w:bCs/>
          <w:sz w:val="18"/>
          <w:szCs w:val="18"/>
        </w:rPr>
      </w:pPr>
      <w:proofErr w:type="spellStart"/>
      <w:r w:rsidRPr="00637870">
        <w:rPr>
          <w:b/>
          <w:bCs/>
          <w:sz w:val="18"/>
          <w:szCs w:val="18"/>
        </w:rPr>
        <w:t>RETScreen</w:t>
      </w:r>
      <w:proofErr w:type="spellEnd"/>
      <w:r w:rsidRPr="00637870">
        <w:rPr>
          <w:b/>
          <w:bCs/>
          <w:sz w:val="18"/>
          <w:szCs w:val="18"/>
        </w:rPr>
        <w:t xml:space="preserve">® software solar water heating project model is utilized in this paper to perform simulations. </w:t>
      </w:r>
      <w:r w:rsidR="006E026B" w:rsidRPr="006E026B">
        <w:rPr>
          <w:b/>
          <w:bCs/>
          <w:sz w:val="18"/>
          <w:szCs w:val="18"/>
        </w:rPr>
        <w:t>The total collectors’ area is 77.52 m</w:t>
      </w:r>
      <w:r w:rsidR="006E026B" w:rsidRPr="00A50DEE">
        <w:rPr>
          <w:b/>
          <w:bCs/>
          <w:sz w:val="18"/>
          <w:szCs w:val="18"/>
          <w:vertAlign w:val="superscript"/>
        </w:rPr>
        <w:t>2</w:t>
      </w:r>
      <w:r w:rsidR="006E026B" w:rsidRPr="006E026B">
        <w:rPr>
          <w:b/>
          <w:bCs/>
          <w:sz w:val="18"/>
          <w:szCs w:val="18"/>
        </w:rPr>
        <w:t xml:space="preserve"> </w:t>
      </w:r>
      <w:r w:rsidR="006E026B" w:rsidRPr="006E026B">
        <w:rPr>
          <w:rFonts w:eastAsia="SimSun"/>
          <w:b/>
          <w:bCs/>
          <w:sz w:val="18"/>
          <w:szCs w:val="18"/>
        </w:rPr>
        <w:t>of evacuated type.</w:t>
      </w:r>
      <w:r w:rsidR="006E026B" w:rsidRPr="006E026B">
        <w:rPr>
          <w:b/>
          <w:bCs/>
          <w:sz w:val="18"/>
          <w:szCs w:val="18"/>
        </w:rPr>
        <w:t xml:space="preserve"> The capacity of proposed system is about 47.6kW. The annual heating energy delivered by the SWH collector system is 62.2 MWh which corresponds to 61% solar fraction.</w:t>
      </w:r>
      <w:r w:rsidR="00CD758A">
        <w:rPr>
          <w:rFonts w:eastAsia="SimSun"/>
          <w:b/>
          <w:bCs/>
          <w:sz w:val="18"/>
          <w:szCs w:val="18"/>
        </w:rPr>
        <w:t xml:space="preserve"> </w:t>
      </w:r>
      <w:r w:rsidR="006E026B" w:rsidRPr="006E026B">
        <w:rPr>
          <w:b/>
          <w:bCs/>
          <w:sz w:val="18"/>
          <w:szCs w:val="18"/>
        </w:rPr>
        <w:t>The corresponding CO</w:t>
      </w:r>
      <w:r w:rsidR="006E026B" w:rsidRPr="00A50DEE">
        <w:rPr>
          <w:b/>
          <w:bCs/>
          <w:sz w:val="18"/>
          <w:szCs w:val="18"/>
          <w:vertAlign w:val="subscript"/>
        </w:rPr>
        <w:t>2</w:t>
      </w:r>
      <w:r w:rsidR="00866714">
        <w:rPr>
          <w:b/>
          <w:bCs/>
          <w:sz w:val="18"/>
          <w:szCs w:val="18"/>
        </w:rPr>
        <w:t xml:space="preserve"> saving</w:t>
      </w:r>
      <w:r w:rsidR="006E026B" w:rsidRPr="006E026B">
        <w:rPr>
          <w:b/>
          <w:bCs/>
          <w:sz w:val="18"/>
          <w:szCs w:val="18"/>
        </w:rPr>
        <w:t xml:space="preserve"> is about </w:t>
      </w:r>
      <w:r w:rsidR="0003668D">
        <w:rPr>
          <w:b/>
          <w:bCs/>
          <w:sz w:val="18"/>
          <w:szCs w:val="18"/>
        </w:rPr>
        <w:t>72.5</w:t>
      </w:r>
      <w:r w:rsidR="006E026B" w:rsidRPr="006E026B">
        <w:rPr>
          <w:b/>
          <w:bCs/>
          <w:sz w:val="18"/>
          <w:szCs w:val="18"/>
        </w:rPr>
        <w:t xml:space="preserve"> tons on the basis that coal is the base cas</w:t>
      </w:r>
      <w:r w:rsidR="00866714">
        <w:rPr>
          <w:b/>
          <w:bCs/>
          <w:sz w:val="18"/>
          <w:szCs w:val="18"/>
        </w:rPr>
        <w:t>e electricity system fuel type</w:t>
      </w:r>
      <w:r w:rsidR="000A2510">
        <w:rPr>
          <w:b/>
          <w:bCs/>
          <w:sz w:val="18"/>
          <w:szCs w:val="18"/>
        </w:rPr>
        <w:t>. T</w:t>
      </w:r>
      <w:r w:rsidR="00866714">
        <w:rPr>
          <w:b/>
          <w:bCs/>
          <w:sz w:val="18"/>
          <w:szCs w:val="18"/>
        </w:rPr>
        <w:t xml:space="preserve">he </w:t>
      </w:r>
      <w:r w:rsidR="00866714" w:rsidRPr="006E026B">
        <w:rPr>
          <w:b/>
          <w:bCs/>
          <w:sz w:val="18"/>
          <w:szCs w:val="18"/>
        </w:rPr>
        <w:t>CO</w:t>
      </w:r>
      <w:r w:rsidR="00866714" w:rsidRPr="00A50DEE">
        <w:rPr>
          <w:b/>
          <w:bCs/>
          <w:sz w:val="18"/>
          <w:szCs w:val="18"/>
          <w:vertAlign w:val="subscript"/>
        </w:rPr>
        <w:t>2</w:t>
      </w:r>
      <w:r w:rsidR="00866714">
        <w:rPr>
          <w:b/>
          <w:bCs/>
          <w:sz w:val="18"/>
          <w:szCs w:val="18"/>
          <w:vertAlign w:val="subscript"/>
        </w:rPr>
        <w:t xml:space="preserve"> </w:t>
      </w:r>
      <w:r w:rsidR="00866714">
        <w:rPr>
          <w:b/>
          <w:bCs/>
          <w:sz w:val="18"/>
          <w:szCs w:val="18"/>
        </w:rPr>
        <w:t xml:space="preserve">saving is about </w:t>
      </w:r>
      <w:r w:rsidR="0003668D">
        <w:rPr>
          <w:b/>
          <w:bCs/>
          <w:sz w:val="18"/>
          <w:szCs w:val="18"/>
        </w:rPr>
        <w:t>27.9</w:t>
      </w:r>
      <w:r w:rsidR="00866714">
        <w:rPr>
          <w:b/>
          <w:bCs/>
          <w:sz w:val="18"/>
          <w:szCs w:val="18"/>
        </w:rPr>
        <w:t xml:space="preserve"> tons </w:t>
      </w:r>
      <w:r w:rsidR="000A2510">
        <w:rPr>
          <w:b/>
          <w:bCs/>
          <w:sz w:val="18"/>
          <w:szCs w:val="18"/>
        </w:rPr>
        <w:t xml:space="preserve">if a diesel boiler provides the system with the required energy. </w:t>
      </w:r>
      <w:r w:rsidR="0068698F" w:rsidRPr="006E026B">
        <w:rPr>
          <w:b/>
          <w:bCs/>
          <w:sz w:val="18"/>
          <w:szCs w:val="18"/>
        </w:rPr>
        <w:t>The simple payback period of the project is 2.8 years and the equity payback is 2.2 years.</w:t>
      </w:r>
    </w:p>
    <w:p w:rsidR="00AB1165" w:rsidRPr="00AB1165" w:rsidRDefault="009A7AE4" w:rsidP="00AB1165">
      <w:pPr>
        <w:pStyle w:val="keywords"/>
        <w:ind w:firstLine="0"/>
        <w:rPr>
          <w:b w:val="0"/>
          <w:bCs w:val="0"/>
        </w:rPr>
      </w:pPr>
      <w:r>
        <w:t>Keywords-</w:t>
      </w:r>
      <w:r w:rsidR="00AB1165">
        <w:t xml:space="preserve"> </w:t>
      </w:r>
      <w:r w:rsidR="00AB1165" w:rsidRPr="00AB1165">
        <w:rPr>
          <w:b w:val="0"/>
          <w:bCs w:val="0"/>
        </w:rPr>
        <w:t>solar water heating system; evacuated tubes collectors; RETScreen; solar fraction; Palestinian territories, GHG emission, financial indices</w:t>
      </w:r>
      <w:r w:rsidR="00AB1165" w:rsidRPr="00AB1165">
        <w:rPr>
          <w:i w:val="0"/>
          <w:iCs w:val="0"/>
        </w:rPr>
        <w:t>.</w:t>
      </w:r>
    </w:p>
    <w:p w:rsidR="009303D9" w:rsidRDefault="009303D9" w:rsidP="00170EE3">
      <w:pPr>
        <w:pStyle w:val="Heading1"/>
        <w:spacing w:before="0" w:after="0"/>
      </w:pPr>
      <w:r>
        <w:t xml:space="preserve"> </w:t>
      </w:r>
      <w:r w:rsidRPr="005B520E">
        <w:t>Introduction</w:t>
      </w:r>
      <w:r>
        <w:t xml:space="preserve"> </w:t>
      </w:r>
    </w:p>
    <w:p w:rsidR="00170EE3" w:rsidRDefault="00170EE3" w:rsidP="00170EE3">
      <w:pPr>
        <w:tabs>
          <w:tab w:val="right" w:pos="0"/>
        </w:tabs>
        <w:autoSpaceDE w:val="0"/>
        <w:autoSpaceDN w:val="0"/>
        <w:adjustRightInd w:val="0"/>
        <w:jc w:val="both"/>
        <w:rPr>
          <w:spacing w:val="-1"/>
        </w:rPr>
      </w:pPr>
      <w:r w:rsidRPr="00170EE3">
        <w:rPr>
          <w:spacing w:val="-1"/>
        </w:rPr>
        <w:t>The excessive usage of energy depending on conventional energy sources increases the concentration of carbon dioxide in our atmosphere</w:t>
      </w:r>
      <w:r w:rsidR="00600720">
        <w:rPr>
          <w:spacing w:val="-1"/>
        </w:rPr>
        <w:t xml:space="preserve"> and other hazardous emissions likes </w:t>
      </w:r>
      <w:proofErr w:type="spellStart"/>
      <w:r w:rsidR="00600720">
        <w:rPr>
          <w:spacing w:val="-1"/>
        </w:rPr>
        <w:t>NOxs</w:t>
      </w:r>
      <w:proofErr w:type="spellEnd"/>
      <w:r w:rsidR="00600720">
        <w:rPr>
          <w:spacing w:val="-1"/>
        </w:rPr>
        <w:t xml:space="preserve"> and </w:t>
      </w:r>
      <w:proofErr w:type="spellStart"/>
      <w:r w:rsidR="00600720">
        <w:rPr>
          <w:spacing w:val="-1"/>
        </w:rPr>
        <w:t>SOxs</w:t>
      </w:r>
      <w:proofErr w:type="spellEnd"/>
      <w:r w:rsidRPr="00170EE3">
        <w:rPr>
          <w:spacing w:val="-1"/>
        </w:rPr>
        <w:t>. The expected depletion of fossil fuels is another catastrophic problem. The systematic exploitation of renewable energy sources is one of the solutions adopted by energy decision makers all over the world.</w:t>
      </w:r>
    </w:p>
    <w:p w:rsidR="006A24B6" w:rsidRDefault="006A24B6" w:rsidP="00170EE3">
      <w:pPr>
        <w:tabs>
          <w:tab w:val="right" w:pos="0"/>
        </w:tabs>
        <w:autoSpaceDE w:val="0"/>
        <w:autoSpaceDN w:val="0"/>
        <w:adjustRightInd w:val="0"/>
        <w:jc w:val="both"/>
        <w:rPr>
          <w:spacing w:val="-1"/>
        </w:rPr>
      </w:pPr>
    </w:p>
    <w:p w:rsidR="00170EE3" w:rsidRDefault="00DB019B" w:rsidP="00DB019B">
      <w:pPr>
        <w:tabs>
          <w:tab w:val="right" w:pos="0"/>
        </w:tabs>
        <w:autoSpaceDE w:val="0"/>
        <w:autoSpaceDN w:val="0"/>
        <w:adjustRightInd w:val="0"/>
        <w:jc w:val="both"/>
        <w:rPr>
          <w:spacing w:val="-1"/>
        </w:rPr>
      </w:pPr>
      <w:r>
        <w:rPr>
          <w:spacing w:val="-1"/>
        </w:rPr>
        <w:t>West Bank and Gaza suffer</w:t>
      </w:r>
      <w:r w:rsidR="00170EE3" w:rsidRPr="00170EE3">
        <w:rPr>
          <w:spacing w:val="-1"/>
        </w:rPr>
        <w:t xml:space="preserve"> from shortage and high prices of energy sources because of the political situation</w:t>
      </w:r>
      <w:r w:rsidR="00600720">
        <w:rPr>
          <w:spacing w:val="-1"/>
        </w:rPr>
        <w:t xml:space="preserve"> and specifically the occupation</w:t>
      </w:r>
      <w:r w:rsidR="00170EE3" w:rsidRPr="00170EE3">
        <w:rPr>
          <w:spacing w:val="-1"/>
        </w:rPr>
        <w:t xml:space="preserve">. </w:t>
      </w:r>
      <w:r>
        <w:rPr>
          <w:spacing w:val="-1"/>
        </w:rPr>
        <w:t>The Palestinian authority</w:t>
      </w:r>
      <w:r w:rsidR="00170EE3" w:rsidRPr="00170EE3">
        <w:rPr>
          <w:spacing w:val="-1"/>
        </w:rPr>
        <w:t xml:space="preserve"> purchases all its needs of petroleum products from Israeli market and about 92% </w:t>
      </w:r>
      <w:r w:rsidR="00170EE3" w:rsidRPr="00170EE3">
        <w:rPr>
          <w:spacing w:val="-1"/>
        </w:rPr>
        <w:t xml:space="preserve">of electrical energy from the Israeli Electric Corporation (IEC) which is considered one </w:t>
      </w:r>
      <w:bookmarkStart w:id="0" w:name="_GoBack"/>
      <w:bookmarkEnd w:id="0"/>
      <w:r w:rsidR="00170EE3" w:rsidRPr="00170EE3">
        <w:rPr>
          <w:spacing w:val="-1"/>
        </w:rPr>
        <w:t>of the main problems to Palestinian economy.</w:t>
      </w:r>
    </w:p>
    <w:p w:rsidR="00600720" w:rsidRPr="00CD758A" w:rsidRDefault="00600720" w:rsidP="00DB019B">
      <w:pPr>
        <w:tabs>
          <w:tab w:val="right" w:pos="0"/>
        </w:tabs>
        <w:autoSpaceDE w:val="0"/>
        <w:autoSpaceDN w:val="0"/>
        <w:adjustRightInd w:val="0"/>
        <w:jc w:val="both"/>
        <w:rPr>
          <w:spacing w:val="-1"/>
          <w:lang w:val="en-GB"/>
        </w:rPr>
      </w:pPr>
    </w:p>
    <w:p w:rsidR="00170EE3" w:rsidRDefault="00205A9A" w:rsidP="00170EE3">
      <w:pPr>
        <w:tabs>
          <w:tab w:val="right" w:pos="0"/>
        </w:tabs>
        <w:autoSpaceDE w:val="0"/>
        <w:autoSpaceDN w:val="0"/>
        <w:adjustRightInd w:val="0"/>
        <w:jc w:val="both"/>
        <w:rPr>
          <w:spacing w:val="-1"/>
        </w:rPr>
      </w:pPr>
      <w:r w:rsidRPr="00170EE3">
        <w:rPr>
          <w:spacing w:val="-1"/>
        </w:rPr>
        <w:t>Solar energy radiations are</w:t>
      </w:r>
      <w:r>
        <w:rPr>
          <w:spacing w:val="-1"/>
        </w:rPr>
        <w:t xml:space="preserve"> abundant in West Bank and Gaza </w:t>
      </w:r>
      <w:r w:rsidR="00170EE3" w:rsidRPr="00170EE3">
        <w:rPr>
          <w:spacing w:val="-1"/>
        </w:rPr>
        <w:t>(5.46 kWh/ m</w:t>
      </w:r>
      <w:r w:rsidR="00170EE3" w:rsidRPr="00170EE3">
        <w:rPr>
          <w:spacing w:val="-1"/>
          <w:vertAlign w:val="superscript"/>
        </w:rPr>
        <w:t>2</w:t>
      </w:r>
      <w:r w:rsidR="00170EE3" w:rsidRPr="00170EE3">
        <w:rPr>
          <w:spacing w:val="-1"/>
        </w:rPr>
        <w:t xml:space="preserve">.day) which makes the exploitation of solar energy feasible. </w:t>
      </w:r>
    </w:p>
    <w:p w:rsidR="00A50DEE" w:rsidRPr="00170EE3" w:rsidRDefault="00A50DEE" w:rsidP="00170EE3">
      <w:pPr>
        <w:tabs>
          <w:tab w:val="right" w:pos="0"/>
        </w:tabs>
        <w:autoSpaceDE w:val="0"/>
        <w:autoSpaceDN w:val="0"/>
        <w:adjustRightInd w:val="0"/>
        <w:jc w:val="both"/>
        <w:rPr>
          <w:spacing w:val="-1"/>
        </w:rPr>
      </w:pPr>
    </w:p>
    <w:p w:rsidR="00170EE3" w:rsidRDefault="00170EE3" w:rsidP="00170EE3">
      <w:pPr>
        <w:tabs>
          <w:tab w:val="right" w:pos="0"/>
        </w:tabs>
        <w:autoSpaceDE w:val="0"/>
        <w:autoSpaceDN w:val="0"/>
        <w:adjustRightInd w:val="0"/>
        <w:spacing w:line="276" w:lineRule="auto"/>
        <w:jc w:val="both"/>
        <w:rPr>
          <w:spacing w:val="-1"/>
        </w:rPr>
      </w:pPr>
      <w:r w:rsidRPr="00170EE3">
        <w:rPr>
          <w:spacing w:val="-1"/>
        </w:rPr>
        <w:t>Solar energy technologies use the sun's energy and light to provide heat, light, hot water, electricity, cooling for all sectors. Among those technolog</w:t>
      </w:r>
      <w:r w:rsidR="006A24B6">
        <w:rPr>
          <w:spacing w:val="-1"/>
        </w:rPr>
        <w:t xml:space="preserve">ies is the SWH </w:t>
      </w:r>
      <w:r w:rsidRPr="00170EE3">
        <w:rPr>
          <w:spacing w:val="-1"/>
        </w:rPr>
        <w:t xml:space="preserve">technology which is defined as technology used to transform sunlight energy into heat energy used to heat water by means of solar thermal collector.  </w:t>
      </w:r>
    </w:p>
    <w:p w:rsidR="00A50DEE" w:rsidRPr="00170EE3" w:rsidRDefault="00A50DEE" w:rsidP="00170EE3">
      <w:pPr>
        <w:tabs>
          <w:tab w:val="right" w:pos="0"/>
        </w:tabs>
        <w:autoSpaceDE w:val="0"/>
        <w:autoSpaceDN w:val="0"/>
        <w:adjustRightInd w:val="0"/>
        <w:spacing w:line="276" w:lineRule="auto"/>
        <w:jc w:val="both"/>
        <w:rPr>
          <w:spacing w:val="-1"/>
        </w:rPr>
      </w:pPr>
    </w:p>
    <w:p w:rsidR="00170EE3" w:rsidRDefault="006A24B6" w:rsidP="00BB0544">
      <w:pPr>
        <w:autoSpaceDE w:val="0"/>
        <w:autoSpaceDN w:val="0"/>
        <w:adjustRightInd w:val="0"/>
        <w:spacing w:line="276" w:lineRule="auto"/>
        <w:jc w:val="both"/>
        <w:rPr>
          <w:spacing w:val="-1"/>
        </w:rPr>
      </w:pPr>
      <w:r>
        <w:rPr>
          <w:spacing w:val="-1"/>
        </w:rPr>
        <w:t>SWH</w:t>
      </w:r>
      <w:r w:rsidR="00170EE3" w:rsidRPr="00170EE3">
        <w:rPr>
          <w:spacing w:val="-1"/>
        </w:rPr>
        <w:t xml:space="preserve"> are extensively used in the residential sector in </w:t>
      </w:r>
      <w:r w:rsidR="00BB0544">
        <w:rPr>
          <w:spacing w:val="-1"/>
        </w:rPr>
        <w:t>West Bank and Gaza</w:t>
      </w:r>
      <w:r w:rsidR="00170EE3" w:rsidRPr="00170EE3">
        <w:rPr>
          <w:spacing w:val="-1"/>
        </w:rPr>
        <w:t>, in which 68.2% of households use solar family systems, whereas, it is limited in the service a</w:t>
      </w:r>
      <w:r w:rsidR="008433DF">
        <w:rPr>
          <w:spacing w:val="-1"/>
        </w:rPr>
        <w:t>nd industry sectors [1]</w:t>
      </w:r>
      <w:r w:rsidR="00170EE3" w:rsidRPr="00170EE3">
        <w:rPr>
          <w:spacing w:val="-1"/>
        </w:rPr>
        <w:t xml:space="preserve">. The existing installed capacity in all sectors is totaled to 1,533,000 m² of which 7100 m² in the service sector, this can produce 650 </w:t>
      </w:r>
      <w:proofErr w:type="spellStart"/>
      <w:r w:rsidR="00170EE3" w:rsidRPr="00170EE3">
        <w:rPr>
          <w:spacing w:val="-1"/>
        </w:rPr>
        <w:t>GWh</w:t>
      </w:r>
      <w:proofErr w:type="spellEnd"/>
      <w:r w:rsidR="00170EE3" w:rsidRPr="00170EE3">
        <w:rPr>
          <w:spacing w:val="-1"/>
        </w:rPr>
        <w:t xml:space="preserve"> annually with corresponding CO</w:t>
      </w:r>
      <w:r w:rsidR="00170EE3" w:rsidRPr="008433DF">
        <w:rPr>
          <w:spacing w:val="-1"/>
          <w:vertAlign w:val="subscript"/>
        </w:rPr>
        <w:t>2</w:t>
      </w:r>
      <w:r w:rsidR="00170EE3" w:rsidRPr="00170EE3">
        <w:rPr>
          <w:spacing w:val="-1"/>
        </w:rPr>
        <w:t xml:space="preserve"> savings of 395,000 </w:t>
      </w:r>
      <w:r w:rsidR="008433DF">
        <w:rPr>
          <w:spacing w:val="-1"/>
        </w:rPr>
        <w:t>tons per year [1</w:t>
      </w:r>
      <w:r w:rsidR="000E5C7C">
        <w:rPr>
          <w:spacing w:val="-1"/>
        </w:rPr>
        <w:t>, 2</w:t>
      </w:r>
      <w:r w:rsidR="008433DF">
        <w:rPr>
          <w:spacing w:val="-1"/>
        </w:rPr>
        <w:t>]</w:t>
      </w:r>
      <w:r w:rsidR="00170EE3" w:rsidRPr="00170EE3">
        <w:rPr>
          <w:spacing w:val="-1"/>
        </w:rPr>
        <w:t>.</w:t>
      </w:r>
    </w:p>
    <w:p w:rsidR="006A24B6" w:rsidRDefault="006A24B6" w:rsidP="00170EE3">
      <w:pPr>
        <w:autoSpaceDE w:val="0"/>
        <w:autoSpaceDN w:val="0"/>
        <w:adjustRightInd w:val="0"/>
        <w:spacing w:line="276" w:lineRule="auto"/>
        <w:jc w:val="both"/>
        <w:rPr>
          <w:spacing w:val="-1"/>
        </w:rPr>
      </w:pPr>
    </w:p>
    <w:p w:rsidR="00170EE3" w:rsidRDefault="00170EE3" w:rsidP="00BB0544">
      <w:pPr>
        <w:autoSpaceDE w:val="0"/>
        <w:autoSpaceDN w:val="0"/>
        <w:adjustRightInd w:val="0"/>
        <w:spacing w:line="276" w:lineRule="auto"/>
        <w:jc w:val="both"/>
        <w:rPr>
          <w:spacing w:val="-1"/>
        </w:rPr>
      </w:pPr>
      <w:r w:rsidRPr="00170EE3">
        <w:rPr>
          <w:spacing w:val="-1"/>
        </w:rPr>
        <w:t xml:space="preserve">The energy consumption in service and building sectors in </w:t>
      </w:r>
      <w:r w:rsidR="00BB0544">
        <w:rPr>
          <w:spacing w:val="-1"/>
        </w:rPr>
        <w:t>West Bank and Gaza</w:t>
      </w:r>
      <w:r w:rsidRPr="00170EE3">
        <w:rPr>
          <w:spacing w:val="-1"/>
        </w:rPr>
        <w:t xml:space="preserve"> and in all other developing countries represents a major part of energy bi</w:t>
      </w:r>
      <w:r w:rsidR="000E5C7C">
        <w:rPr>
          <w:spacing w:val="-1"/>
        </w:rPr>
        <w:t>ll, approximately equal to 75% [3]</w:t>
      </w:r>
      <w:r w:rsidRPr="00170EE3">
        <w:rPr>
          <w:spacing w:val="-1"/>
        </w:rPr>
        <w:t>. The electric water heating consumes the most electric power and emits the most po</w:t>
      </w:r>
      <w:r w:rsidR="000F77FC">
        <w:rPr>
          <w:spacing w:val="-1"/>
        </w:rPr>
        <w:t>llutants during its life cycle [4]</w:t>
      </w:r>
      <w:r w:rsidRPr="00170EE3">
        <w:rPr>
          <w:spacing w:val="-1"/>
        </w:rPr>
        <w:t>.</w:t>
      </w:r>
    </w:p>
    <w:p w:rsidR="006A24B6" w:rsidRPr="00170EE3" w:rsidRDefault="006A24B6" w:rsidP="00170EE3">
      <w:pPr>
        <w:autoSpaceDE w:val="0"/>
        <w:autoSpaceDN w:val="0"/>
        <w:adjustRightInd w:val="0"/>
        <w:spacing w:line="276" w:lineRule="auto"/>
        <w:jc w:val="both"/>
        <w:rPr>
          <w:spacing w:val="-1"/>
        </w:rPr>
      </w:pPr>
    </w:p>
    <w:p w:rsidR="007F7365" w:rsidRPr="006A24B6" w:rsidRDefault="00170EE3" w:rsidP="00054D89">
      <w:pPr>
        <w:autoSpaceDE w:val="0"/>
        <w:autoSpaceDN w:val="0"/>
        <w:adjustRightInd w:val="0"/>
        <w:spacing w:line="276" w:lineRule="auto"/>
        <w:jc w:val="both"/>
        <w:rPr>
          <w:spacing w:val="-1"/>
        </w:rPr>
      </w:pPr>
      <w:r w:rsidRPr="00170EE3">
        <w:rPr>
          <w:spacing w:val="-1"/>
        </w:rPr>
        <w:t xml:space="preserve">This paper investigates the </w:t>
      </w:r>
      <w:r w:rsidR="00BB0544">
        <w:rPr>
          <w:spacing w:val="-1"/>
        </w:rPr>
        <w:t xml:space="preserve">environmental benefits </w:t>
      </w:r>
      <w:r w:rsidRPr="00170EE3">
        <w:rPr>
          <w:spacing w:val="-1"/>
        </w:rPr>
        <w:t xml:space="preserve">of </w:t>
      </w:r>
      <w:r w:rsidR="006A24B6">
        <w:rPr>
          <w:spacing w:val="-1"/>
        </w:rPr>
        <w:t>a collective SWH</w:t>
      </w:r>
      <w:r w:rsidRPr="00170EE3">
        <w:rPr>
          <w:spacing w:val="-1"/>
        </w:rPr>
        <w:t xml:space="preserve"> based on evacuated tube collectors for hospital in </w:t>
      </w:r>
      <w:r w:rsidR="00BB0544">
        <w:rPr>
          <w:spacing w:val="-1"/>
        </w:rPr>
        <w:t>West Bank</w:t>
      </w:r>
      <w:r w:rsidRPr="00170EE3">
        <w:rPr>
          <w:spacing w:val="-1"/>
        </w:rPr>
        <w:t>.</w:t>
      </w:r>
      <w:r w:rsidR="00BB0544">
        <w:rPr>
          <w:spacing w:val="-1"/>
        </w:rPr>
        <w:t xml:space="preserve"> The </w:t>
      </w:r>
      <w:r w:rsidR="00054D89">
        <w:rPr>
          <w:spacing w:val="-1"/>
        </w:rPr>
        <w:t xml:space="preserve">technical and </w:t>
      </w:r>
      <w:r w:rsidR="00BB0544">
        <w:rPr>
          <w:spacing w:val="-1"/>
        </w:rPr>
        <w:t xml:space="preserve">financial </w:t>
      </w:r>
      <w:r w:rsidR="00054D89">
        <w:rPr>
          <w:spacing w:val="-1"/>
        </w:rPr>
        <w:t>analyses are</w:t>
      </w:r>
      <w:r w:rsidR="00BB0544">
        <w:rPr>
          <w:spacing w:val="-1"/>
        </w:rPr>
        <w:t xml:space="preserve"> investigated as well.</w:t>
      </w:r>
      <w:r w:rsidR="00054D89">
        <w:rPr>
          <w:spacing w:val="-1"/>
        </w:rPr>
        <w:t xml:space="preserve"> </w:t>
      </w:r>
      <w:proofErr w:type="spellStart"/>
      <w:r w:rsidRPr="00170EE3">
        <w:rPr>
          <w:spacing w:val="-1"/>
        </w:rPr>
        <w:t>RETScreen</w:t>
      </w:r>
      <w:proofErr w:type="spellEnd"/>
      <w:r w:rsidRPr="00170EE3">
        <w:rPr>
          <w:spacing w:val="-1"/>
        </w:rPr>
        <w:t>® software SWH project</w:t>
      </w:r>
      <w:r w:rsidR="000F77FC">
        <w:rPr>
          <w:spacing w:val="-1"/>
        </w:rPr>
        <w:t xml:space="preserve"> model [5]</w:t>
      </w:r>
      <w:r w:rsidRPr="00170EE3">
        <w:rPr>
          <w:spacing w:val="-1"/>
        </w:rPr>
        <w:t xml:space="preserve"> is used to assess the energy based on solar radiation on horizontal and tilted surface, energy delivered from SWH system, GHG emissions, and energy saving. The financial indices are estimated in this study to evaluate the economic benefits like payback period, equity payback period and pre-tax IRR.</w:t>
      </w:r>
    </w:p>
    <w:p w:rsidR="00C577F9" w:rsidRPr="00C577F9" w:rsidRDefault="002573F3" w:rsidP="002573F3">
      <w:pPr>
        <w:pStyle w:val="Heading1"/>
        <w:jc w:val="both"/>
      </w:pPr>
      <w:r w:rsidRPr="002573F3">
        <w:lastRenderedPageBreak/>
        <w:t>Geographical Context and Metrological Data</w:t>
      </w:r>
    </w:p>
    <w:p w:rsidR="005A6018" w:rsidRDefault="00D64CCC" w:rsidP="00307BF4">
      <w:pPr>
        <w:jc w:val="both"/>
        <w:rPr>
          <w:spacing w:val="-1"/>
        </w:rPr>
      </w:pPr>
      <w:r>
        <w:rPr>
          <w:spacing w:val="-1"/>
        </w:rPr>
        <w:t>West Bank &amp; Gaza Strip</w:t>
      </w:r>
      <w:r w:rsidR="002573F3">
        <w:rPr>
          <w:spacing w:val="-1"/>
        </w:rPr>
        <w:t xml:space="preserve"> as shown in Figure 1 </w:t>
      </w:r>
      <w:r w:rsidR="002573F3" w:rsidRPr="002573F3">
        <w:rPr>
          <w:spacing w:val="-1"/>
        </w:rPr>
        <w:t>lies on the western edge of the Asian continent and the eastern extremity of the Mediterranean Sea, between 34</w:t>
      </w:r>
      <w:r w:rsidR="002573F3" w:rsidRPr="002573F3">
        <w:rPr>
          <w:spacing w:val="-1"/>
          <w:vertAlign w:val="superscript"/>
        </w:rPr>
        <w:t>o</w:t>
      </w:r>
      <w:r w:rsidR="002573F3" w:rsidRPr="002573F3">
        <w:rPr>
          <w:spacing w:val="-1"/>
        </w:rPr>
        <w:t>20’– 35</w:t>
      </w:r>
      <w:r w:rsidR="002573F3" w:rsidRPr="002573F3">
        <w:rPr>
          <w:spacing w:val="-1"/>
          <w:vertAlign w:val="superscript"/>
        </w:rPr>
        <w:t>o</w:t>
      </w:r>
      <w:r w:rsidR="002573F3" w:rsidRPr="002573F3">
        <w:rPr>
          <w:spacing w:val="-1"/>
        </w:rPr>
        <w:t>30’ E and 31</w:t>
      </w:r>
      <w:r w:rsidR="002573F3" w:rsidRPr="002573F3">
        <w:rPr>
          <w:spacing w:val="-1"/>
          <w:vertAlign w:val="superscript"/>
        </w:rPr>
        <w:t>o</w:t>
      </w:r>
      <w:r w:rsidR="002573F3" w:rsidRPr="002573F3">
        <w:rPr>
          <w:spacing w:val="-1"/>
        </w:rPr>
        <w:t>10’– 32</w:t>
      </w:r>
      <w:r w:rsidR="002573F3" w:rsidRPr="002573F3">
        <w:rPr>
          <w:spacing w:val="-1"/>
          <w:vertAlign w:val="superscript"/>
        </w:rPr>
        <w:t>o</w:t>
      </w:r>
      <w:r w:rsidR="002573F3" w:rsidRPr="002573F3">
        <w:rPr>
          <w:spacing w:val="-1"/>
        </w:rPr>
        <w:t>30 N.</w:t>
      </w:r>
    </w:p>
    <w:p w:rsidR="005A6018" w:rsidRPr="002573F3" w:rsidRDefault="005A6018" w:rsidP="005A6018">
      <w:pPr>
        <w:rPr>
          <w:spacing w:val="-1"/>
        </w:rPr>
      </w:pPr>
      <w:r>
        <w:rPr>
          <w:noProof/>
          <w:spacing w:val="-1"/>
          <w:lang w:val="en-GB" w:eastAsia="en-GB"/>
        </w:rPr>
        <w:drawing>
          <wp:inline distT="0" distB="0" distL="0" distR="0" wp14:anchorId="48AC56F1" wp14:editId="169048B9">
            <wp:extent cx="2752725" cy="28635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7274" cy="2868306"/>
                    </a:xfrm>
                    <a:prstGeom prst="rect">
                      <a:avLst/>
                    </a:prstGeom>
                    <a:noFill/>
                    <a:ln>
                      <a:noFill/>
                    </a:ln>
                  </pic:spPr>
                </pic:pic>
              </a:graphicData>
            </a:graphic>
          </wp:inline>
        </w:drawing>
      </w:r>
    </w:p>
    <w:p w:rsidR="005A6018" w:rsidRPr="002573F3" w:rsidRDefault="005A6018" w:rsidP="005A6018">
      <w:pPr>
        <w:rPr>
          <w:noProof/>
          <w:sz w:val="16"/>
          <w:szCs w:val="16"/>
        </w:rPr>
      </w:pPr>
      <w:r w:rsidRPr="002573F3">
        <w:rPr>
          <w:noProof/>
          <w:sz w:val="16"/>
          <w:szCs w:val="16"/>
        </w:rPr>
        <w:t>Figure 1:</w:t>
      </w:r>
      <w:r>
        <w:rPr>
          <w:noProof/>
          <w:sz w:val="16"/>
          <w:szCs w:val="16"/>
        </w:rPr>
        <w:t xml:space="preserve"> </w:t>
      </w:r>
      <w:r w:rsidRPr="002573F3">
        <w:rPr>
          <w:noProof/>
          <w:sz w:val="16"/>
          <w:szCs w:val="16"/>
        </w:rPr>
        <w:t xml:space="preserve"> Location the Palestinian</w:t>
      </w:r>
      <w:r>
        <w:rPr>
          <w:noProof/>
          <w:sz w:val="16"/>
          <w:szCs w:val="16"/>
        </w:rPr>
        <w:t xml:space="preserve"> Territories in the region, [7]</w:t>
      </w:r>
    </w:p>
    <w:p w:rsidR="005A6018" w:rsidRDefault="005A6018" w:rsidP="002573F3">
      <w:pPr>
        <w:jc w:val="both"/>
        <w:rPr>
          <w:spacing w:val="-1"/>
        </w:rPr>
      </w:pPr>
    </w:p>
    <w:p w:rsidR="005A6018" w:rsidRDefault="005A6018" w:rsidP="00307BF4">
      <w:pPr>
        <w:jc w:val="both"/>
        <w:rPr>
          <w:spacing w:val="-1"/>
        </w:rPr>
      </w:pPr>
      <w:r w:rsidRPr="00EC4903">
        <w:rPr>
          <w:spacing w:val="-1"/>
        </w:rPr>
        <w:t>It includes of two land areas; the West Bank 5800 km2, and the Gaza Strip 365 km</w:t>
      </w:r>
      <w:r w:rsidRPr="00EC4903">
        <w:rPr>
          <w:spacing w:val="-1"/>
          <w:vertAlign w:val="superscript"/>
        </w:rPr>
        <w:t>2</w:t>
      </w:r>
      <w:r w:rsidRPr="00EC4903">
        <w:rPr>
          <w:spacing w:val="-1"/>
        </w:rPr>
        <w:t xml:space="preserve">. </w:t>
      </w:r>
      <w:r w:rsidRPr="009C6AB2">
        <w:rPr>
          <w:spacing w:val="-1"/>
        </w:rPr>
        <w:t>The metrological data used in this study are mainly based on the Atlas of solar resources of Pales</w:t>
      </w:r>
      <w:r>
        <w:rPr>
          <w:spacing w:val="-1"/>
        </w:rPr>
        <w:t>tinian territories [6]</w:t>
      </w:r>
      <w:r w:rsidRPr="009C6AB2">
        <w:rPr>
          <w:spacing w:val="-1"/>
        </w:rPr>
        <w:t xml:space="preserve">, the local metrological stations followed to An </w:t>
      </w:r>
      <w:proofErr w:type="spellStart"/>
      <w:r w:rsidRPr="009C6AB2">
        <w:rPr>
          <w:spacing w:val="-1"/>
        </w:rPr>
        <w:t>Najah</w:t>
      </w:r>
      <w:proofErr w:type="spellEnd"/>
      <w:r w:rsidRPr="009C6AB2">
        <w:rPr>
          <w:spacing w:val="-1"/>
        </w:rPr>
        <w:t xml:space="preserve"> Energy Research Center, and the database recorded by National Aeronautics and Space Administration NASA.</w:t>
      </w:r>
    </w:p>
    <w:p w:rsidR="005A6018" w:rsidRPr="00EC4903" w:rsidRDefault="005A6018" w:rsidP="00FB32FE">
      <w:pPr>
        <w:jc w:val="both"/>
        <w:rPr>
          <w:spacing w:val="-1"/>
        </w:rPr>
      </w:pPr>
    </w:p>
    <w:p w:rsidR="005949EA" w:rsidRDefault="005A6018" w:rsidP="00054D89">
      <w:pPr>
        <w:jc w:val="both"/>
        <w:rPr>
          <w:spacing w:val="-1"/>
        </w:rPr>
      </w:pPr>
      <w:r w:rsidRPr="000E2689">
        <w:rPr>
          <w:spacing w:val="-1"/>
        </w:rPr>
        <w:t xml:space="preserve">The monthly variations of daily solar radiation on horizontal surface of the selected sites are presented in Figure </w:t>
      </w:r>
      <w:r w:rsidR="00054D89">
        <w:rPr>
          <w:spacing w:val="-1"/>
        </w:rPr>
        <w:t>2</w:t>
      </w:r>
      <w:r w:rsidRPr="000E2689">
        <w:rPr>
          <w:spacing w:val="-1"/>
        </w:rPr>
        <w:t>. The data are imported from Atlas of solar resources of Pales</w:t>
      </w:r>
      <w:r>
        <w:rPr>
          <w:spacing w:val="-1"/>
        </w:rPr>
        <w:t>tinian territories [6]</w:t>
      </w:r>
      <w:r w:rsidRPr="000E2689">
        <w:rPr>
          <w:spacing w:val="-1"/>
        </w:rPr>
        <w:t xml:space="preserve">. </w:t>
      </w:r>
    </w:p>
    <w:p w:rsidR="005949EA" w:rsidRDefault="005949EA" w:rsidP="005A6018">
      <w:pPr>
        <w:jc w:val="both"/>
        <w:rPr>
          <w:spacing w:val="-1"/>
        </w:rPr>
      </w:pPr>
    </w:p>
    <w:p w:rsidR="005A6018" w:rsidRDefault="005A6018" w:rsidP="00307BF4">
      <w:pPr>
        <w:jc w:val="both"/>
        <w:rPr>
          <w:spacing w:val="-1"/>
        </w:rPr>
      </w:pPr>
      <w:r w:rsidRPr="000E2689">
        <w:rPr>
          <w:spacing w:val="-1"/>
        </w:rPr>
        <w:t xml:space="preserve"> Figure </w:t>
      </w:r>
      <w:r w:rsidR="00307BF4">
        <w:rPr>
          <w:spacing w:val="-1"/>
        </w:rPr>
        <w:t>2</w:t>
      </w:r>
      <w:r w:rsidRPr="000E2689">
        <w:rPr>
          <w:spacing w:val="-1"/>
        </w:rPr>
        <w:t xml:space="preserve"> indicates that differences between sites are small as the variability in yearly averages of global horizontal irradiation (GHI) is only 1.5% while monthly averages have differences ranging from 1.1% in May to 5.2% in February</w:t>
      </w:r>
      <w:r>
        <w:rPr>
          <w:spacing w:val="-1"/>
        </w:rPr>
        <w:t xml:space="preserve"> [6]</w:t>
      </w:r>
      <w:r w:rsidRPr="000E2689">
        <w:rPr>
          <w:spacing w:val="-1"/>
        </w:rPr>
        <w:t xml:space="preserve">.  </w:t>
      </w:r>
    </w:p>
    <w:p w:rsidR="005949EA" w:rsidRDefault="005949EA" w:rsidP="005A6018">
      <w:pPr>
        <w:jc w:val="both"/>
        <w:rPr>
          <w:spacing w:val="-1"/>
        </w:rPr>
      </w:pPr>
    </w:p>
    <w:p w:rsidR="005949EA" w:rsidRPr="002573F3" w:rsidRDefault="005949EA" w:rsidP="005949EA">
      <w:pPr>
        <w:pStyle w:val="BodyText"/>
      </w:pPr>
      <w:r>
        <w:rPr>
          <w:rFonts w:ascii="TimesNewRomanPSMT" w:hAnsi="TimesNewRomanPSMT" w:cs="TimesNewRomanPSMT"/>
          <w:noProof/>
          <w:sz w:val="24"/>
          <w:szCs w:val="24"/>
          <w:lang w:val="en-GB" w:eastAsia="en-GB"/>
        </w:rPr>
        <w:drawing>
          <wp:inline distT="0" distB="0" distL="0" distR="0" wp14:anchorId="7325AFF2" wp14:editId="07DBC5D0">
            <wp:extent cx="3204845" cy="21552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4845" cy="2155258"/>
                    </a:xfrm>
                    <a:prstGeom prst="rect">
                      <a:avLst/>
                    </a:prstGeom>
                    <a:noFill/>
                    <a:ln>
                      <a:noFill/>
                    </a:ln>
                  </pic:spPr>
                </pic:pic>
              </a:graphicData>
            </a:graphic>
          </wp:inline>
        </w:drawing>
      </w:r>
    </w:p>
    <w:p w:rsidR="005949EA" w:rsidRPr="00054D89" w:rsidRDefault="005949EA" w:rsidP="00054D89">
      <w:pPr>
        <w:rPr>
          <w:noProof/>
          <w:sz w:val="16"/>
          <w:szCs w:val="16"/>
        </w:rPr>
      </w:pPr>
      <w:r w:rsidRPr="000E2689">
        <w:rPr>
          <w:noProof/>
          <w:sz w:val="16"/>
          <w:szCs w:val="16"/>
        </w:rPr>
        <w:t xml:space="preserve">Figure </w:t>
      </w:r>
      <w:r w:rsidR="00CE092E">
        <w:rPr>
          <w:noProof/>
          <w:sz w:val="16"/>
          <w:szCs w:val="16"/>
        </w:rPr>
        <w:t>2</w:t>
      </w:r>
      <w:r w:rsidRPr="000E2689">
        <w:rPr>
          <w:noProof/>
          <w:sz w:val="16"/>
          <w:szCs w:val="16"/>
        </w:rPr>
        <w:t>. Monthly variation of daily solar radiation on horizontal surface</w:t>
      </w:r>
    </w:p>
    <w:p w:rsidR="005949EA" w:rsidRDefault="005949EA" w:rsidP="005949EA">
      <w:pPr>
        <w:autoSpaceDE w:val="0"/>
        <w:autoSpaceDN w:val="0"/>
        <w:adjustRightInd w:val="0"/>
        <w:jc w:val="both"/>
        <w:rPr>
          <w:lang w:val="en-GB"/>
        </w:rPr>
      </w:pPr>
      <w:r>
        <w:rPr>
          <w:lang w:val="en-GB"/>
        </w:rPr>
        <w:t xml:space="preserve">The hospital taken as a case study is located in Nablus city/west bank. </w:t>
      </w:r>
      <w:r w:rsidRPr="00856FFC">
        <w:rPr>
          <w:spacing w:val="-1"/>
        </w:rPr>
        <w:t>The authentic climatic data like latitude, longitude, location elevation, heating and cooling design temperature are imported from its database recorded by National Aeronautics and Space Administration (NASA) [7]. A deta</w:t>
      </w:r>
      <w:r>
        <w:rPr>
          <w:spacing w:val="-1"/>
        </w:rPr>
        <w:t xml:space="preserve">iled values of air temperature </w:t>
      </w:r>
      <w:r w:rsidRPr="00856FFC">
        <w:rPr>
          <w:spacing w:val="-1"/>
        </w:rPr>
        <w:t>and daily solar radiations on monthly and annual basis</w:t>
      </w:r>
      <w:r>
        <w:rPr>
          <w:spacing w:val="-1"/>
        </w:rPr>
        <w:t xml:space="preserve"> are shown in </w:t>
      </w:r>
      <w:r w:rsidR="00755E3C">
        <w:rPr>
          <w:lang w:val="en-GB"/>
        </w:rPr>
        <w:t>Table 1.</w:t>
      </w:r>
    </w:p>
    <w:p w:rsidR="00755E3C" w:rsidRDefault="00755E3C" w:rsidP="005949EA">
      <w:pPr>
        <w:autoSpaceDE w:val="0"/>
        <w:autoSpaceDN w:val="0"/>
        <w:adjustRightInd w:val="0"/>
        <w:jc w:val="both"/>
        <w:rPr>
          <w:lang w:val="en-GB"/>
        </w:rPr>
      </w:pPr>
    </w:p>
    <w:p w:rsidR="00755E3C" w:rsidRPr="005949EA" w:rsidRDefault="005949EA" w:rsidP="00CD758A">
      <w:pPr>
        <w:autoSpaceDE w:val="0"/>
        <w:autoSpaceDN w:val="0"/>
        <w:adjustRightInd w:val="0"/>
        <w:rPr>
          <w:noProof/>
          <w:sz w:val="16"/>
          <w:szCs w:val="16"/>
        </w:rPr>
      </w:pPr>
      <w:r w:rsidRPr="00376A56">
        <w:rPr>
          <w:noProof/>
          <w:sz w:val="16"/>
          <w:szCs w:val="16"/>
        </w:rPr>
        <w:t>Table 1: climate data of location with latitude 31.9º and longitude 35.2º [7]</w:t>
      </w:r>
    </w:p>
    <w:tbl>
      <w:tblPr>
        <w:tblW w:w="3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129"/>
        <w:gridCol w:w="1231"/>
      </w:tblGrid>
      <w:tr w:rsidR="005949EA" w:rsidRPr="009F2168" w:rsidTr="00AF4C2C">
        <w:trPr>
          <w:trHeight w:val="653"/>
          <w:jc w:val="center"/>
        </w:trPr>
        <w:tc>
          <w:tcPr>
            <w:tcW w:w="1206" w:type="dxa"/>
            <w:shd w:val="clear" w:color="000000" w:fill="FFFFFF"/>
          </w:tcPr>
          <w:p w:rsidR="005949EA" w:rsidRPr="009F2168" w:rsidRDefault="005949EA" w:rsidP="00AF4C2C">
            <w:pPr>
              <w:rPr>
                <w:rFonts w:asciiTheme="majorBidi" w:eastAsia="Times New Roman" w:hAnsiTheme="majorBidi" w:cstheme="majorBidi"/>
                <w:b/>
                <w:bCs/>
              </w:rPr>
            </w:pPr>
          </w:p>
        </w:tc>
        <w:tc>
          <w:tcPr>
            <w:tcW w:w="1129" w:type="dxa"/>
            <w:shd w:val="clear" w:color="000000" w:fill="FFFFFF"/>
            <w:vAlign w:val="bottom"/>
            <w:hideMark/>
          </w:tcPr>
          <w:p w:rsidR="005949EA" w:rsidRPr="00E819DA" w:rsidRDefault="005949EA" w:rsidP="00AF4C2C">
            <w:pPr>
              <w:rPr>
                <w:rFonts w:asciiTheme="majorBidi" w:eastAsia="Times New Roman" w:hAnsiTheme="majorBidi" w:cstheme="majorBidi"/>
                <w:b/>
                <w:bCs/>
                <w:sz w:val="16"/>
                <w:szCs w:val="16"/>
              </w:rPr>
            </w:pPr>
            <w:r w:rsidRPr="00E819DA">
              <w:rPr>
                <w:rFonts w:asciiTheme="majorBidi" w:eastAsia="Times New Roman" w:hAnsiTheme="majorBidi" w:cstheme="majorBidi"/>
                <w:b/>
                <w:bCs/>
                <w:sz w:val="16"/>
                <w:szCs w:val="16"/>
              </w:rPr>
              <w:t>Air temperature</w:t>
            </w:r>
          </w:p>
        </w:tc>
        <w:tc>
          <w:tcPr>
            <w:tcW w:w="1231" w:type="dxa"/>
            <w:shd w:val="clear" w:color="000000" w:fill="FFFFFF"/>
            <w:vAlign w:val="bottom"/>
            <w:hideMark/>
          </w:tcPr>
          <w:p w:rsidR="005949EA" w:rsidRPr="00E819DA" w:rsidRDefault="005949EA" w:rsidP="00AF4C2C">
            <w:pPr>
              <w:rPr>
                <w:rFonts w:asciiTheme="majorBidi" w:eastAsia="Times New Roman" w:hAnsiTheme="majorBidi" w:cstheme="majorBidi"/>
                <w:b/>
                <w:bCs/>
                <w:sz w:val="16"/>
                <w:szCs w:val="16"/>
              </w:rPr>
            </w:pPr>
            <w:r w:rsidRPr="00E819DA">
              <w:rPr>
                <w:rFonts w:asciiTheme="majorBidi" w:eastAsia="Times New Roman" w:hAnsiTheme="majorBidi" w:cstheme="majorBidi"/>
                <w:b/>
                <w:bCs/>
                <w:sz w:val="16"/>
                <w:szCs w:val="16"/>
              </w:rPr>
              <w:t>Daily solar radiation - horizontal</w:t>
            </w:r>
          </w:p>
        </w:tc>
      </w:tr>
      <w:tr w:rsidR="005949EA" w:rsidRPr="009F2168" w:rsidTr="00AF4C2C">
        <w:trPr>
          <w:trHeight w:val="217"/>
          <w:jc w:val="center"/>
        </w:trPr>
        <w:tc>
          <w:tcPr>
            <w:tcW w:w="1206" w:type="dxa"/>
            <w:shd w:val="clear" w:color="000000" w:fill="FFFFCC"/>
          </w:tcPr>
          <w:p w:rsidR="005949EA" w:rsidRPr="00E819DA" w:rsidRDefault="005949EA" w:rsidP="00AF4C2C">
            <w:pPr>
              <w:rPr>
                <w:rFonts w:asciiTheme="majorBidi" w:eastAsia="Times New Roman" w:hAnsiTheme="majorBidi" w:cstheme="majorBidi"/>
                <w:b/>
                <w:bCs/>
              </w:rPr>
            </w:pPr>
            <w:r w:rsidRPr="00E819DA">
              <w:rPr>
                <w:rFonts w:asciiTheme="majorBidi" w:eastAsia="Times New Roman" w:hAnsiTheme="majorBidi" w:cstheme="majorBidi"/>
                <w:b/>
                <w:bCs/>
              </w:rPr>
              <w:t>Month</w:t>
            </w:r>
          </w:p>
        </w:tc>
        <w:tc>
          <w:tcPr>
            <w:tcW w:w="1129" w:type="dxa"/>
            <w:shd w:val="clear" w:color="000000" w:fill="FFFFCC"/>
            <w:noWrap/>
            <w:vAlign w:val="bottom"/>
            <w:hideMark/>
          </w:tcPr>
          <w:p w:rsidR="005949EA" w:rsidRPr="00E819DA" w:rsidRDefault="005949EA" w:rsidP="00AF4C2C">
            <w:pPr>
              <w:rPr>
                <w:rFonts w:ascii="Arial" w:eastAsia="Times New Roman" w:hAnsi="Arial" w:cs="Arial"/>
                <w:sz w:val="16"/>
                <w:szCs w:val="16"/>
              </w:rPr>
            </w:pPr>
            <w:r w:rsidRPr="00E819DA">
              <w:rPr>
                <w:rFonts w:ascii="Arial" w:eastAsia="Times New Roman" w:hAnsi="Arial" w:cs="Arial"/>
                <w:sz w:val="16"/>
                <w:szCs w:val="16"/>
              </w:rPr>
              <w:t>°C</w:t>
            </w:r>
          </w:p>
        </w:tc>
        <w:tc>
          <w:tcPr>
            <w:tcW w:w="1231" w:type="dxa"/>
            <w:shd w:val="clear" w:color="000000" w:fill="FFFFCC"/>
            <w:noWrap/>
            <w:vAlign w:val="bottom"/>
            <w:hideMark/>
          </w:tcPr>
          <w:p w:rsidR="005949EA" w:rsidRPr="00E819DA" w:rsidRDefault="005949EA" w:rsidP="00AF4C2C">
            <w:pPr>
              <w:rPr>
                <w:rFonts w:ascii="Arial" w:eastAsia="Times New Roman" w:hAnsi="Arial" w:cs="Arial"/>
                <w:sz w:val="16"/>
                <w:szCs w:val="16"/>
              </w:rPr>
            </w:pPr>
            <w:r w:rsidRPr="00E819DA">
              <w:rPr>
                <w:rFonts w:ascii="Arial" w:eastAsia="Times New Roman" w:hAnsi="Arial" w:cs="Arial"/>
                <w:sz w:val="16"/>
                <w:szCs w:val="16"/>
              </w:rPr>
              <w:t>kWh/m²/d</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January</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bookmarkStart w:id="1" w:name="RANGE!D58"/>
            <w:r w:rsidRPr="005A3111">
              <w:rPr>
                <w:rFonts w:ascii="Arial" w:eastAsia="Times New Roman" w:hAnsi="Arial" w:cs="Arial"/>
                <w:sz w:val="16"/>
                <w:szCs w:val="16"/>
              </w:rPr>
              <w:t>7.7</w:t>
            </w:r>
            <w:bookmarkEnd w:id="1"/>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bookmarkStart w:id="2" w:name="RANGE!F58"/>
            <w:r w:rsidRPr="005A3111">
              <w:rPr>
                <w:rFonts w:ascii="Arial" w:eastAsia="Times New Roman" w:hAnsi="Arial" w:cs="Arial"/>
                <w:sz w:val="16"/>
                <w:szCs w:val="16"/>
              </w:rPr>
              <w:t>3.37</w:t>
            </w:r>
            <w:bookmarkEnd w:id="2"/>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February</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8.2</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4.20</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March</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10.4</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5.30</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April</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15.1</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6.81</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May</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19.1</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7.83</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June</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21.4</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8.57</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July</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23.1</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8.40</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August</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23.1</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7.85</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September</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21.8</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6.73</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October</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19.1</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5.28</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November</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14.1</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3.74</w:t>
            </w:r>
          </w:p>
        </w:tc>
      </w:tr>
      <w:tr w:rsidR="005949EA" w:rsidRPr="009F2168" w:rsidTr="00AF4C2C">
        <w:trPr>
          <w:trHeight w:val="217"/>
          <w:jc w:val="center"/>
        </w:trPr>
        <w:tc>
          <w:tcPr>
            <w:tcW w:w="1206" w:type="dxa"/>
            <w:shd w:val="clear" w:color="000000" w:fill="DAE8F4"/>
          </w:tcPr>
          <w:p w:rsidR="005949EA" w:rsidRPr="005A3111" w:rsidRDefault="005949EA" w:rsidP="00AF4C2C">
            <w:pPr>
              <w:rPr>
                <w:rFonts w:asciiTheme="majorBidi" w:eastAsia="Times New Roman" w:hAnsiTheme="majorBidi" w:cstheme="majorBidi"/>
              </w:rPr>
            </w:pPr>
            <w:r w:rsidRPr="005A3111">
              <w:rPr>
                <w:rFonts w:asciiTheme="majorBidi" w:eastAsia="Times New Roman" w:hAnsiTheme="majorBidi" w:cstheme="majorBidi"/>
              </w:rPr>
              <w:t>December</w:t>
            </w:r>
          </w:p>
        </w:tc>
        <w:tc>
          <w:tcPr>
            <w:tcW w:w="1129"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9.7</w:t>
            </w:r>
          </w:p>
        </w:tc>
        <w:tc>
          <w:tcPr>
            <w:tcW w:w="1231" w:type="dxa"/>
            <w:shd w:val="clear" w:color="000000" w:fill="DAE8F4"/>
            <w:noWrap/>
            <w:vAlign w:val="bottom"/>
            <w:hideMark/>
          </w:tcPr>
          <w:p w:rsidR="005949EA" w:rsidRPr="005A3111" w:rsidRDefault="005949EA" w:rsidP="00AF4C2C">
            <w:pPr>
              <w:rPr>
                <w:rFonts w:ascii="Arial" w:eastAsia="Times New Roman" w:hAnsi="Arial" w:cs="Arial"/>
                <w:sz w:val="16"/>
                <w:szCs w:val="16"/>
              </w:rPr>
            </w:pPr>
            <w:r w:rsidRPr="005A3111">
              <w:rPr>
                <w:rFonts w:ascii="Arial" w:eastAsia="Times New Roman" w:hAnsi="Arial" w:cs="Arial"/>
                <w:sz w:val="16"/>
                <w:szCs w:val="16"/>
              </w:rPr>
              <w:t>3.05</w:t>
            </w:r>
          </w:p>
        </w:tc>
      </w:tr>
      <w:tr w:rsidR="005949EA" w:rsidRPr="009F2168" w:rsidTr="00AF4C2C">
        <w:trPr>
          <w:trHeight w:val="217"/>
          <w:jc w:val="center"/>
        </w:trPr>
        <w:tc>
          <w:tcPr>
            <w:tcW w:w="1206" w:type="dxa"/>
            <w:shd w:val="clear" w:color="000000" w:fill="FFFFFF"/>
          </w:tcPr>
          <w:p w:rsidR="005949EA" w:rsidRPr="009F2168" w:rsidRDefault="005949EA" w:rsidP="00AF4C2C">
            <w:pPr>
              <w:rPr>
                <w:rFonts w:ascii="Arial" w:eastAsia="Times New Roman" w:hAnsi="Arial" w:cs="Arial"/>
                <w:sz w:val="16"/>
                <w:szCs w:val="16"/>
              </w:rPr>
            </w:pPr>
          </w:p>
        </w:tc>
        <w:tc>
          <w:tcPr>
            <w:tcW w:w="1129" w:type="dxa"/>
            <w:shd w:val="clear" w:color="000000" w:fill="FFFFFF"/>
            <w:noWrap/>
            <w:vAlign w:val="bottom"/>
            <w:hideMark/>
          </w:tcPr>
          <w:p w:rsidR="005949EA" w:rsidRPr="009F2168" w:rsidRDefault="005949EA" w:rsidP="00AF4C2C">
            <w:pPr>
              <w:rPr>
                <w:rFonts w:asciiTheme="majorBidi" w:eastAsia="Times New Roman" w:hAnsiTheme="majorBidi" w:cstheme="majorBidi"/>
                <w:b/>
                <w:bCs/>
              </w:rPr>
            </w:pPr>
            <w:r w:rsidRPr="009F2168">
              <w:rPr>
                <w:rFonts w:asciiTheme="majorBidi" w:eastAsia="Times New Roman" w:hAnsiTheme="majorBidi" w:cstheme="majorBidi"/>
                <w:b/>
                <w:bCs/>
              </w:rPr>
              <w:t>16.1</w:t>
            </w:r>
          </w:p>
        </w:tc>
        <w:tc>
          <w:tcPr>
            <w:tcW w:w="1231" w:type="dxa"/>
            <w:shd w:val="clear" w:color="000000" w:fill="FFFFFF"/>
            <w:noWrap/>
            <w:vAlign w:val="bottom"/>
            <w:hideMark/>
          </w:tcPr>
          <w:p w:rsidR="005949EA" w:rsidRPr="009F2168" w:rsidRDefault="005949EA" w:rsidP="00AF4C2C">
            <w:pPr>
              <w:rPr>
                <w:rFonts w:asciiTheme="majorBidi" w:eastAsia="Times New Roman" w:hAnsiTheme="majorBidi" w:cstheme="majorBidi"/>
                <w:b/>
                <w:bCs/>
              </w:rPr>
            </w:pPr>
            <w:r w:rsidRPr="009F2168">
              <w:rPr>
                <w:rFonts w:asciiTheme="majorBidi" w:eastAsia="Times New Roman" w:hAnsiTheme="majorBidi" w:cstheme="majorBidi"/>
                <w:b/>
                <w:bCs/>
              </w:rPr>
              <w:t>5.94</w:t>
            </w:r>
          </w:p>
        </w:tc>
      </w:tr>
    </w:tbl>
    <w:p w:rsidR="00307BF4" w:rsidRPr="00307BF4" w:rsidRDefault="00307BF4" w:rsidP="005A6018">
      <w:pPr>
        <w:jc w:val="both"/>
        <w:rPr>
          <w:spacing w:val="-1"/>
        </w:rPr>
      </w:pPr>
    </w:p>
    <w:p w:rsidR="009E2993" w:rsidRPr="009E2993" w:rsidRDefault="009E2993" w:rsidP="009E2993">
      <w:pPr>
        <w:pStyle w:val="Heading1"/>
        <w:rPr>
          <w:lang w:val="en-GB"/>
        </w:rPr>
      </w:pPr>
      <w:r w:rsidRPr="009E2993">
        <w:rPr>
          <w:spacing w:val="-1"/>
          <w:lang w:val="en-GB"/>
        </w:rPr>
        <w:t xml:space="preserve"> </w:t>
      </w:r>
      <w:r w:rsidRPr="009E2993">
        <w:rPr>
          <w:lang w:val="en-GB"/>
        </w:rPr>
        <w:t>TECHNICAL ANALYSIS</w:t>
      </w:r>
    </w:p>
    <w:p w:rsidR="00CE092E" w:rsidRDefault="00CE092E" w:rsidP="00054D89">
      <w:pPr>
        <w:jc w:val="both"/>
        <w:rPr>
          <w:lang w:val="en-GB"/>
        </w:rPr>
      </w:pPr>
      <w:r w:rsidRPr="00856FFC">
        <w:rPr>
          <w:lang w:val="en-GB"/>
        </w:rPr>
        <w:t xml:space="preserve">The proposed collective SWH system provides the domestic hot water for the hospital is shown in Figure </w:t>
      </w:r>
      <w:r>
        <w:rPr>
          <w:lang w:val="en-GB"/>
        </w:rPr>
        <w:t xml:space="preserve">3. </w:t>
      </w:r>
      <w:r w:rsidRPr="00856FFC">
        <w:rPr>
          <w:lang w:val="en-GB"/>
        </w:rPr>
        <w:t xml:space="preserve">The main components used to build the collective solar water heater system </w:t>
      </w:r>
      <w:r w:rsidR="008C16D9">
        <w:rPr>
          <w:lang w:val="en-GB"/>
        </w:rPr>
        <w:t xml:space="preserve">are </w:t>
      </w:r>
      <w:r w:rsidR="008C16D9" w:rsidRPr="00856FFC">
        <w:rPr>
          <w:lang w:val="en-GB"/>
        </w:rPr>
        <w:t>illustrated</w:t>
      </w:r>
      <w:r w:rsidRPr="00856FFC">
        <w:rPr>
          <w:lang w:val="en-GB"/>
        </w:rPr>
        <w:t xml:space="preserve"> in Table 2.</w:t>
      </w:r>
    </w:p>
    <w:p w:rsidR="00054D89" w:rsidRDefault="00054D89" w:rsidP="00054D89">
      <w:pPr>
        <w:jc w:val="both"/>
        <w:rPr>
          <w:lang w:val="en-GB"/>
        </w:rPr>
      </w:pPr>
    </w:p>
    <w:p w:rsidR="00054D89" w:rsidRDefault="00054D89" w:rsidP="00054D89">
      <w:pPr>
        <w:jc w:val="both"/>
        <w:rPr>
          <w:lang w:val="en-GB"/>
        </w:rPr>
      </w:pPr>
    </w:p>
    <w:p w:rsidR="00CE092E" w:rsidRDefault="00CE092E" w:rsidP="00CE092E">
      <w:pPr>
        <w:jc w:val="both"/>
        <w:rPr>
          <w:lang w:val="en-GB"/>
        </w:rPr>
      </w:pPr>
    </w:p>
    <w:p w:rsidR="00CD758A" w:rsidRDefault="00CD758A" w:rsidP="00CE092E">
      <w:pPr>
        <w:jc w:val="both"/>
        <w:rPr>
          <w:lang w:val="en-GB"/>
        </w:rPr>
      </w:pPr>
    </w:p>
    <w:p w:rsidR="00307BF4" w:rsidRDefault="00307BF4" w:rsidP="00307BF4">
      <w:pPr>
        <w:rPr>
          <w:noProof/>
          <w:sz w:val="16"/>
          <w:szCs w:val="16"/>
        </w:rPr>
      </w:pPr>
      <w:r w:rsidRPr="00150C5D">
        <w:rPr>
          <w:noProof/>
          <w:sz w:val="16"/>
          <w:szCs w:val="16"/>
        </w:rPr>
        <w:lastRenderedPageBreak/>
        <w:t xml:space="preserve">Table </w:t>
      </w:r>
      <w:r>
        <w:rPr>
          <w:noProof/>
          <w:sz w:val="16"/>
          <w:szCs w:val="16"/>
        </w:rPr>
        <w:t>2</w:t>
      </w:r>
      <w:r w:rsidRPr="00150C5D">
        <w:rPr>
          <w:noProof/>
          <w:sz w:val="16"/>
          <w:szCs w:val="16"/>
        </w:rPr>
        <w:t>: collective SWH components</w:t>
      </w:r>
    </w:p>
    <w:p w:rsidR="00307BF4" w:rsidRDefault="00307BF4" w:rsidP="00307BF4">
      <w:pPr>
        <w:jc w:val="both"/>
        <w:rPr>
          <w:noProof/>
          <w:sz w:val="16"/>
          <w:szCs w:val="16"/>
        </w:rPr>
      </w:pPr>
    </w:p>
    <w:tbl>
      <w:tblPr>
        <w:tblpPr w:leftFromText="180" w:rightFromText="180" w:vertAnchor="text" w:horzAnchor="margin" w:tblpY="87"/>
        <w:tblW w:w="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4348"/>
      </w:tblGrid>
      <w:tr w:rsidR="00307BF4" w:rsidTr="00AF4C2C">
        <w:trPr>
          <w:trHeight w:val="300"/>
        </w:trPr>
        <w:tc>
          <w:tcPr>
            <w:tcW w:w="625" w:type="dxa"/>
          </w:tcPr>
          <w:p w:rsidR="00307BF4" w:rsidRPr="00856FFC" w:rsidRDefault="00307BF4" w:rsidP="00AF4C2C">
            <w:pPr>
              <w:pStyle w:val="BodyText2"/>
              <w:spacing w:after="0" w:line="240" w:lineRule="auto"/>
              <w:rPr>
                <w:b/>
                <w:bCs/>
                <w:spacing w:val="-1"/>
              </w:rPr>
            </w:pPr>
            <w:r w:rsidRPr="00856FFC">
              <w:rPr>
                <w:b/>
                <w:bCs/>
                <w:spacing w:val="-1"/>
              </w:rPr>
              <w:t>item</w:t>
            </w:r>
          </w:p>
        </w:tc>
        <w:tc>
          <w:tcPr>
            <w:tcW w:w="4348" w:type="dxa"/>
          </w:tcPr>
          <w:p w:rsidR="00307BF4" w:rsidRPr="00856FFC" w:rsidRDefault="00307BF4" w:rsidP="00AF4C2C">
            <w:pPr>
              <w:pStyle w:val="BodyText2"/>
              <w:spacing w:after="0" w:line="240" w:lineRule="auto"/>
              <w:rPr>
                <w:b/>
                <w:bCs/>
                <w:spacing w:val="-1"/>
              </w:rPr>
            </w:pPr>
            <w:r w:rsidRPr="00856FFC">
              <w:rPr>
                <w:b/>
                <w:bCs/>
                <w:spacing w:val="-1"/>
              </w:rPr>
              <w:t>Component</w:t>
            </w:r>
          </w:p>
        </w:tc>
      </w:tr>
      <w:tr w:rsidR="00307BF4" w:rsidTr="00AF4C2C">
        <w:trPr>
          <w:trHeight w:val="300"/>
        </w:trPr>
        <w:tc>
          <w:tcPr>
            <w:tcW w:w="625" w:type="dxa"/>
          </w:tcPr>
          <w:p w:rsidR="00307BF4" w:rsidRPr="00856FFC" w:rsidRDefault="00307BF4" w:rsidP="00AF4C2C">
            <w:pPr>
              <w:rPr>
                <w:spacing w:val="-1"/>
              </w:rPr>
            </w:pPr>
            <w:r>
              <w:rPr>
                <w:spacing w:val="-1"/>
              </w:rPr>
              <w:t xml:space="preserve"> </w:t>
            </w:r>
            <w:r w:rsidRPr="00856FFC">
              <w:rPr>
                <w:spacing w:val="-1"/>
              </w:rPr>
              <w:t>1</w:t>
            </w:r>
          </w:p>
        </w:tc>
        <w:tc>
          <w:tcPr>
            <w:tcW w:w="4348" w:type="dxa"/>
          </w:tcPr>
          <w:p w:rsidR="00307BF4" w:rsidRPr="00856FFC" w:rsidRDefault="00307BF4" w:rsidP="00AF4C2C">
            <w:pPr>
              <w:jc w:val="left"/>
              <w:rPr>
                <w:spacing w:val="-1"/>
              </w:rPr>
            </w:pPr>
            <w:r>
              <w:rPr>
                <w:spacing w:val="-1"/>
              </w:rPr>
              <w:t xml:space="preserve"> E</w:t>
            </w:r>
            <w:r w:rsidRPr="00856FFC">
              <w:rPr>
                <w:spacing w:val="-1"/>
              </w:rPr>
              <w:t>vacuated panel 2 m</w:t>
            </w:r>
            <w:r w:rsidRPr="00203292">
              <w:rPr>
                <w:spacing w:val="-1"/>
                <w:vertAlign w:val="superscript"/>
              </w:rPr>
              <w:t>2</w:t>
            </w:r>
            <w:r w:rsidRPr="00856FFC">
              <w:rPr>
                <w:spacing w:val="-1"/>
              </w:rPr>
              <w:t xml:space="preserve"> , 18 pipes</w:t>
            </w:r>
          </w:p>
        </w:tc>
      </w:tr>
      <w:tr w:rsidR="00307BF4" w:rsidTr="00AF4C2C">
        <w:trPr>
          <w:trHeight w:val="300"/>
        </w:trPr>
        <w:tc>
          <w:tcPr>
            <w:tcW w:w="625" w:type="dxa"/>
          </w:tcPr>
          <w:p w:rsidR="00307BF4" w:rsidRPr="00856FFC" w:rsidRDefault="00307BF4" w:rsidP="00AF4C2C">
            <w:pPr>
              <w:pStyle w:val="BodyText2"/>
              <w:spacing w:after="0" w:line="240" w:lineRule="auto"/>
              <w:rPr>
                <w:spacing w:val="-1"/>
              </w:rPr>
            </w:pPr>
            <w:r w:rsidRPr="00856FFC">
              <w:rPr>
                <w:spacing w:val="-1"/>
              </w:rPr>
              <w:t>2</w:t>
            </w:r>
          </w:p>
        </w:tc>
        <w:tc>
          <w:tcPr>
            <w:tcW w:w="4348" w:type="dxa"/>
          </w:tcPr>
          <w:p w:rsidR="00307BF4" w:rsidRPr="00856FFC" w:rsidRDefault="00307BF4" w:rsidP="00AF4C2C">
            <w:pPr>
              <w:pStyle w:val="BodyText2"/>
              <w:spacing w:after="0" w:line="240" w:lineRule="auto"/>
              <w:jc w:val="both"/>
              <w:rPr>
                <w:spacing w:val="-1"/>
              </w:rPr>
            </w:pPr>
            <w:r w:rsidRPr="00856FFC">
              <w:rPr>
                <w:spacing w:val="-1"/>
              </w:rPr>
              <w:t xml:space="preserve">Flat plate stainless steel hot water heat exchanger 40 kW </w:t>
            </w:r>
          </w:p>
        </w:tc>
      </w:tr>
      <w:tr w:rsidR="00307BF4" w:rsidTr="00AF4C2C">
        <w:trPr>
          <w:trHeight w:val="300"/>
        </w:trPr>
        <w:tc>
          <w:tcPr>
            <w:tcW w:w="625" w:type="dxa"/>
          </w:tcPr>
          <w:p w:rsidR="00307BF4" w:rsidRPr="00856FFC" w:rsidRDefault="00307BF4" w:rsidP="00AF4C2C">
            <w:pPr>
              <w:pStyle w:val="BodyText2"/>
              <w:spacing w:after="0" w:line="240" w:lineRule="auto"/>
              <w:rPr>
                <w:spacing w:val="-1"/>
              </w:rPr>
            </w:pPr>
            <w:r w:rsidRPr="00856FFC">
              <w:rPr>
                <w:spacing w:val="-1"/>
              </w:rPr>
              <w:t>3</w:t>
            </w:r>
          </w:p>
        </w:tc>
        <w:tc>
          <w:tcPr>
            <w:tcW w:w="4348" w:type="dxa"/>
          </w:tcPr>
          <w:p w:rsidR="00307BF4" w:rsidRPr="00856FFC" w:rsidRDefault="00307BF4" w:rsidP="00AF4C2C">
            <w:pPr>
              <w:pStyle w:val="BodyText2"/>
              <w:spacing w:after="0" w:line="240" w:lineRule="auto"/>
              <w:jc w:val="both"/>
              <w:rPr>
                <w:spacing w:val="-1"/>
              </w:rPr>
            </w:pPr>
            <w:r w:rsidRPr="00856FFC">
              <w:rPr>
                <w:spacing w:val="-1"/>
              </w:rPr>
              <w:t xml:space="preserve">Pumps </w:t>
            </w:r>
          </w:p>
        </w:tc>
      </w:tr>
      <w:tr w:rsidR="00307BF4" w:rsidRPr="00EB35A5" w:rsidTr="00AF4C2C">
        <w:trPr>
          <w:trHeight w:val="300"/>
        </w:trPr>
        <w:tc>
          <w:tcPr>
            <w:tcW w:w="625" w:type="dxa"/>
          </w:tcPr>
          <w:p w:rsidR="00307BF4" w:rsidRPr="00856FFC" w:rsidRDefault="00307BF4" w:rsidP="00AF4C2C">
            <w:pPr>
              <w:pStyle w:val="BodyText2"/>
              <w:spacing w:after="0" w:line="240" w:lineRule="auto"/>
              <w:rPr>
                <w:spacing w:val="-1"/>
              </w:rPr>
            </w:pPr>
            <w:r w:rsidRPr="00856FFC">
              <w:rPr>
                <w:spacing w:val="-1"/>
              </w:rPr>
              <w:t>4</w:t>
            </w:r>
          </w:p>
        </w:tc>
        <w:tc>
          <w:tcPr>
            <w:tcW w:w="4348" w:type="dxa"/>
          </w:tcPr>
          <w:p w:rsidR="00307BF4" w:rsidRPr="00856FFC" w:rsidRDefault="00307BF4" w:rsidP="00AF4C2C">
            <w:pPr>
              <w:pStyle w:val="BodyText2"/>
              <w:spacing w:after="0" w:line="240" w:lineRule="auto"/>
              <w:jc w:val="both"/>
              <w:rPr>
                <w:spacing w:val="-1"/>
              </w:rPr>
            </w:pPr>
            <w:r w:rsidRPr="00856FFC">
              <w:rPr>
                <w:spacing w:val="-1"/>
              </w:rPr>
              <w:t>Hot Water Storage Tank ( 2000 liter)</w:t>
            </w:r>
          </w:p>
        </w:tc>
      </w:tr>
      <w:tr w:rsidR="00307BF4" w:rsidRPr="00EB35A5" w:rsidTr="00AF4C2C">
        <w:trPr>
          <w:trHeight w:val="300"/>
        </w:trPr>
        <w:tc>
          <w:tcPr>
            <w:tcW w:w="625" w:type="dxa"/>
          </w:tcPr>
          <w:p w:rsidR="00307BF4" w:rsidRPr="00856FFC" w:rsidRDefault="00307BF4" w:rsidP="00AF4C2C">
            <w:pPr>
              <w:pStyle w:val="BodyText2"/>
              <w:spacing w:after="0" w:line="240" w:lineRule="auto"/>
              <w:rPr>
                <w:spacing w:val="-1"/>
              </w:rPr>
            </w:pPr>
            <w:r w:rsidRPr="00856FFC">
              <w:rPr>
                <w:spacing w:val="-1"/>
              </w:rPr>
              <w:t>5</w:t>
            </w:r>
          </w:p>
        </w:tc>
        <w:tc>
          <w:tcPr>
            <w:tcW w:w="4348" w:type="dxa"/>
          </w:tcPr>
          <w:p w:rsidR="00307BF4" w:rsidRPr="00856FFC" w:rsidRDefault="00307BF4" w:rsidP="00AF4C2C">
            <w:pPr>
              <w:pStyle w:val="BodyText2"/>
              <w:spacing w:after="0" w:line="240" w:lineRule="auto"/>
              <w:jc w:val="both"/>
              <w:rPr>
                <w:spacing w:val="-1"/>
              </w:rPr>
            </w:pPr>
            <w:r w:rsidRPr="00856FFC">
              <w:rPr>
                <w:spacing w:val="-1"/>
              </w:rPr>
              <w:t>Cold water makeup plastic tank 1000 liter</w:t>
            </w:r>
          </w:p>
        </w:tc>
      </w:tr>
      <w:tr w:rsidR="00307BF4" w:rsidRPr="00EB35A5" w:rsidTr="00AF4C2C">
        <w:trPr>
          <w:trHeight w:val="300"/>
        </w:trPr>
        <w:tc>
          <w:tcPr>
            <w:tcW w:w="625" w:type="dxa"/>
          </w:tcPr>
          <w:p w:rsidR="00307BF4" w:rsidRPr="00856FFC" w:rsidRDefault="00307BF4" w:rsidP="00AF4C2C">
            <w:pPr>
              <w:pStyle w:val="BodyText2"/>
              <w:spacing w:after="0" w:line="240" w:lineRule="auto"/>
              <w:rPr>
                <w:spacing w:val="-1"/>
              </w:rPr>
            </w:pPr>
            <w:r w:rsidRPr="00856FFC">
              <w:rPr>
                <w:spacing w:val="-1"/>
              </w:rPr>
              <w:t>6</w:t>
            </w:r>
          </w:p>
        </w:tc>
        <w:tc>
          <w:tcPr>
            <w:tcW w:w="4348" w:type="dxa"/>
          </w:tcPr>
          <w:p w:rsidR="00307BF4" w:rsidRPr="00856FFC" w:rsidRDefault="00307BF4" w:rsidP="00AF4C2C">
            <w:pPr>
              <w:pStyle w:val="BodyText2"/>
              <w:spacing w:after="0" w:line="240" w:lineRule="auto"/>
              <w:jc w:val="both"/>
              <w:rPr>
                <w:spacing w:val="-1"/>
              </w:rPr>
            </w:pPr>
            <w:r w:rsidRPr="00856FFC">
              <w:rPr>
                <w:spacing w:val="-1"/>
              </w:rPr>
              <w:t>Expansion Tank (200 Liter)</w:t>
            </w:r>
          </w:p>
        </w:tc>
      </w:tr>
      <w:tr w:rsidR="00307BF4" w:rsidRPr="00EB35A5" w:rsidTr="00AF4C2C">
        <w:trPr>
          <w:trHeight w:val="300"/>
        </w:trPr>
        <w:tc>
          <w:tcPr>
            <w:tcW w:w="625" w:type="dxa"/>
          </w:tcPr>
          <w:p w:rsidR="00307BF4" w:rsidRPr="00856FFC" w:rsidRDefault="00307BF4" w:rsidP="00AF4C2C">
            <w:pPr>
              <w:pStyle w:val="BodyText2"/>
              <w:spacing w:after="0" w:line="240" w:lineRule="auto"/>
              <w:rPr>
                <w:spacing w:val="-1"/>
              </w:rPr>
            </w:pPr>
            <w:r w:rsidRPr="00856FFC">
              <w:rPr>
                <w:spacing w:val="-1"/>
              </w:rPr>
              <w:t>7</w:t>
            </w:r>
          </w:p>
        </w:tc>
        <w:tc>
          <w:tcPr>
            <w:tcW w:w="4348" w:type="dxa"/>
          </w:tcPr>
          <w:p w:rsidR="00307BF4" w:rsidRPr="00856FFC" w:rsidRDefault="00307BF4" w:rsidP="00AF4C2C">
            <w:pPr>
              <w:pStyle w:val="BodyText2"/>
              <w:spacing w:after="0" w:line="240" w:lineRule="auto"/>
              <w:jc w:val="both"/>
              <w:rPr>
                <w:spacing w:val="-1"/>
              </w:rPr>
            </w:pPr>
            <w:r w:rsidRPr="00856FFC">
              <w:rPr>
                <w:spacing w:val="-1"/>
              </w:rPr>
              <w:t>Piping system and its accessories for closed loop SWH and piping system between storage tanks</w:t>
            </w:r>
          </w:p>
        </w:tc>
      </w:tr>
      <w:tr w:rsidR="00307BF4" w:rsidRPr="00EB35A5" w:rsidTr="00AF4C2C">
        <w:trPr>
          <w:trHeight w:val="300"/>
        </w:trPr>
        <w:tc>
          <w:tcPr>
            <w:tcW w:w="625" w:type="dxa"/>
          </w:tcPr>
          <w:p w:rsidR="00307BF4" w:rsidRPr="00856FFC" w:rsidRDefault="00307BF4" w:rsidP="00AF4C2C">
            <w:pPr>
              <w:pStyle w:val="BodyText2"/>
              <w:spacing w:after="0" w:line="240" w:lineRule="auto"/>
              <w:rPr>
                <w:spacing w:val="-1"/>
              </w:rPr>
            </w:pPr>
            <w:r w:rsidRPr="00856FFC">
              <w:rPr>
                <w:spacing w:val="-1"/>
              </w:rPr>
              <w:t>8</w:t>
            </w:r>
          </w:p>
        </w:tc>
        <w:tc>
          <w:tcPr>
            <w:tcW w:w="4348" w:type="dxa"/>
          </w:tcPr>
          <w:p w:rsidR="00307BF4" w:rsidRPr="00856FFC" w:rsidRDefault="00307BF4" w:rsidP="00AF4C2C">
            <w:pPr>
              <w:pStyle w:val="BodyText2"/>
              <w:spacing w:after="0" w:line="240" w:lineRule="auto"/>
              <w:jc w:val="both"/>
              <w:rPr>
                <w:spacing w:val="-1"/>
              </w:rPr>
            </w:pPr>
            <w:r w:rsidRPr="00856FFC">
              <w:rPr>
                <w:spacing w:val="-1"/>
              </w:rPr>
              <w:t>Control system with differential thermostat</w:t>
            </w:r>
          </w:p>
        </w:tc>
      </w:tr>
      <w:tr w:rsidR="00307BF4" w:rsidTr="00AF4C2C">
        <w:trPr>
          <w:trHeight w:val="320"/>
        </w:trPr>
        <w:tc>
          <w:tcPr>
            <w:tcW w:w="625" w:type="dxa"/>
          </w:tcPr>
          <w:p w:rsidR="00307BF4" w:rsidRPr="00856FFC" w:rsidRDefault="00307BF4" w:rsidP="00AF4C2C">
            <w:pPr>
              <w:pStyle w:val="BodyText2"/>
              <w:spacing w:after="0" w:line="240" w:lineRule="auto"/>
              <w:rPr>
                <w:spacing w:val="-1"/>
              </w:rPr>
            </w:pPr>
            <w:r w:rsidRPr="00856FFC">
              <w:rPr>
                <w:spacing w:val="-1"/>
              </w:rPr>
              <w:t>9</w:t>
            </w:r>
          </w:p>
        </w:tc>
        <w:tc>
          <w:tcPr>
            <w:tcW w:w="4348" w:type="dxa"/>
          </w:tcPr>
          <w:p w:rsidR="00307BF4" w:rsidRPr="00856FFC" w:rsidRDefault="00307BF4" w:rsidP="00AF4C2C">
            <w:pPr>
              <w:pStyle w:val="BodyText2"/>
              <w:spacing w:after="0" w:line="240" w:lineRule="auto"/>
              <w:jc w:val="both"/>
              <w:rPr>
                <w:spacing w:val="-1"/>
              </w:rPr>
            </w:pPr>
            <w:r w:rsidRPr="00856FFC">
              <w:rPr>
                <w:spacing w:val="-1"/>
              </w:rPr>
              <w:t xml:space="preserve">Valves, safety valves, Thermometers , Pressure indicators, impulse hot water,  pipes, </w:t>
            </w:r>
            <w:proofErr w:type="spellStart"/>
            <w:r w:rsidRPr="00856FFC">
              <w:rPr>
                <w:spacing w:val="-1"/>
              </w:rPr>
              <w:t>etc</w:t>
            </w:r>
            <w:proofErr w:type="spellEnd"/>
            <w:r w:rsidRPr="00856FFC">
              <w:rPr>
                <w:spacing w:val="-1"/>
              </w:rPr>
              <w:t xml:space="preserve"> (on the roof, not to apartments)</w:t>
            </w:r>
          </w:p>
        </w:tc>
      </w:tr>
      <w:tr w:rsidR="00307BF4" w:rsidTr="00AF4C2C">
        <w:trPr>
          <w:trHeight w:val="320"/>
        </w:trPr>
        <w:tc>
          <w:tcPr>
            <w:tcW w:w="625" w:type="dxa"/>
          </w:tcPr>
          <w:p w:rsidR="00307BF4" w:rsidRPr="00856FFC" w:rsidRDefault="00307BF4" w:rsidP="00AF4C2C">
            <w:pPr>
              <w:pStyle w:val="BodyText2"/>
              <w:spacing w:after="0" w:line="240" w:lineRule="auto"/>
              <w:rPr>
                <w:spacing w:val="-1"/>
              </w:rPr>
            </w:pPr>
            <w:r w:rsidRPr="00856FFC">
              <w:rPr>
                <w:spacing w:val="-1"/>
              </w:rPr>
              <w:t>10</w:t>
            </w:r>
          </w:p>
        </w:tc>
        <w:tc>
          <w:tcPr>
            <w:tcW w:w="4348" w:type="dxa"/>
          </w:tcPr>
          <w:p w:rsidR="00307BF4" w:rsidRPr="00856FFC" w:rsidRDefault="00307BF4" w:rsidP="00AF4C2C">
            <w:pPr>
              <w:pStyle w:val="BodyText2"/>
              <w:spacing w:after="0" w:line="240" w:lineRule="auto"/>
              <w:jc w:val="both"/>
              <w:rPr>
                <w:spacing w:val="-1"/>
              </w:rPr>
            </w:pPr>
            <w:r w:rsidRPr="00856FFC">
              <w:rPr>
                <w:spacing w:val="-1"/>
              </w:rPr>
              <w:t>Fixtures</w:t>
            </w:r>
          </w:p>
        </w:tc>
      </w:tr>
      <w:tr w:rsidR="00307BF4" w:rsidTr="00AF4C2C">
        <w:trPr>
          <w:trHeight w:val="320"/>
        </w:trPr>
        <w:tc>
          <w:tcPr>
            <w:tcW w:w="625" w:type="dxa"/>
          </w:tcPr>
          <w:p w:rsidR="00307BF4" w:rsidRPr="00856FFC" w:rsidRDefault="00307BF4" w:rsidP="00AF4C2C">
            <w:pPr>
              <w:pStyle w:val="BodyText2"/>
              <w:spacing w:after="0" w:line="240" w:lineRule="auto"/>
              <w:rPr>
                <w:spacing w:val="-1"/>
              </w:rPr>
            </w:pPr>
            <w:r w:rsidRPr="00856FFC">
              <w:rPr>
                <w:spacing w:val="-1"/>
              </w:rPr>
              <w:t>11</w:t>
            </w:r>
          </w:p>
        </w:tc>
        <w:tc>
          <w:tcPr>
            <w:tcW w:w="4348" w:type="dxa"/>
          </w:tcPr>
          <w:p w:rsidR="00307BF4" w:rsidRPr="00856FFC" w:rsidRDefault="00307BF4" w:rsidP="00AF4C2C">
            <w:pPr>
              <w:pStyle w:val="BodyText2"/>
              <w:spacing w:after="0" w:line="240" w:lineRule="auto"/>
              <w:jc w:val="both"/>
              <w:rPr>
                <w:spacing w:val="-1"/>
              </w:rPr>
            </w:pPr>
            <w:r w:rsidRPr="00856FFC">
              <w:rPr>
                <w:spacing w:val="-1"/>
              </w:rPr>
              <w:t>Auxiliary Heating System (diesel fueled  Boiler)</w:t>
            </w:r>
          </w:p>
        </w:tc>
      </w:tr>
    </w:tbl>
    <w:p w:rsidR="00307BF4" w:rsidRPr="00307BF4" w:rsidRDefault="00307BF4" w:rsidP="00CE092E">
      <w:pPr>
        <w:jc w:val="both"/>
      </w:pPr>
    </w:p>
    <w:p w:rsidR="00CE092E" w:rsidRDefault="00CE092E" w:rsidP="00CE092E">
      <w:pPr>
        <w:jc w:val="both"/>
        <w:rPr>
          <w:lang w:val="en-GB"/>
        </w:rPr>
      </w:pPr>
      <w:r w:rsidRPr="00376A56">
        <w:rPr>
          <w:lang w:val="en-GB"/>
        </w:rPr>
        <w:t>The system is design</w:t>
      </w:r>
      <w:r>
        <w:rPr>
          <w:lang w:val="en-GB"/>
        </w:rPr>
        <w:t>ed</w:t>
      </w:r>
      <w:r w:rsidRPr="00376A56">
        <w:rPr>
          <w:lang w:val="en-GB"/>
        </w:rPr>
        <w:t xml:space="preserve"> with the aid of </w:t>
      </w:r>
      <w:proofErr w:type="spellStart"/>
      <w:proofErr w:type="gramStart"/>
      <w:r w:rsidRPr="00376A56">
        <w:rPr>
          <w:lang w:val="en-GB"/>
        </w:rPr>
        <w:t>RETScreen</w:t>
      </w:r>
      <w:r w:rsidRPr="00CE092E">
        <w:rPr>
          <w:vertAlign w:val="superscript"/>
          <w:lang w:val="en-GB"/>
        </w:rPr>
        <w:t>TM</w:t>
      </w:r>
      <w:proofErr w:type="spellEnd"/>
      <w:r w:rsidRPr="00376A56">
        <w:rPr>
          <w:lang w:val="en-GB"/>
        </w:rPr>
        <w:t xml:space="preserve">  software</w:t>
      </w:r>
      <w:proofErr w:type="gramEnd"/>
      <w:r w:rsidRPr="00376A56">
        <w:rPr>
          <w:lang w:val="en-GB"/>
        </w:rPr>
        <w:t xml:space="preserve"> [8]. The system is classified as a forced-indirect closed solar water heater system with supplementary heater.</w:t>
      </w:r>
      <w:r>
        <w:rPr>
          <w:lang w:val="en-GB"/>
        </w:rPr>
        <w:t xml:space="preserve"> </w:t>
      </w:r>
      <w:r w:rsidRPr="00376A56">
        <w:rPr>
          <w:lang w:val="en-GB"/>
        </w:rPr>
        <w:t>The daily hot water consumption is about 5500 Litre</w:t>
      </w:r>
      <w:r>
        <w:rPr>
          <w:lang w:val="en-GB"/>
        </w:rPr>
        <w:t>s</w:t>
      </w:r>
      <w:r w:rsidRPr="00376A56">
        <w:rPr>
          <w:lang w:val="en-GB"/>
        </w:rPr>
        <w:t>. The load is calculated based on the number of beds in the hospital which is 60 beds and the occupancy rate which is about 45%.</w:t>
      </w:r>
      <w:r>
        <w:rPr>
          <w:lang w:val="en-GB"/>
        </w:rPr>
        <w:t xml:space="preserve"> </w:t>
      </w:r>
      <w:r w:rsidRPr="00376A56">
        <w:rPr>
          <w:lang w:val="en-GB"/>
        </w:rPr>
        <w:t xml:space="preserve">The required water temperature of the water is 60 ˚C and the Operating days per week is seven. </w:t>
      </w:r>
    </w:p>
    <w:p w:rsidR="00CE092E" w:rsidRPr="00376A56" w:rsidRDefault="00CE092E" w:rsidP="00CE092E">
      <w:pPr>
        <w:jc w:val="both"/>
        <w:rPr>
          <w:lang w:val="en-GB"/>
        </w:rPr>
      </w:pPr>
    </w:p>
    <w:p w:rsidR="00CE092E" w:rsidRDefault="00CE092E" w:rsidP="00CE092E">
      <w:pPr>
        <w:jc w:val="both"/>
        <w:rPr>
          <w:lang w:val="en-GB"/>
        </w:rPr>
      </w:pPr>
    </w:p>
    <w:p w:rsidR="00CE092E" w:rsidRDefault="00AC0669" w:rsidP="00CE092E">
      <w:pPr>
        <w:jc w:val="both"/>
        <w:rPr>
          <w:lang w:val="en-GB"/>
        </w:rPr>
      </w:pPr>
      <w:r>
        <w:rPr>
          <w:rFonts w:ascii="TimesNewRomanPSMT" w:hAnsi="TimesNewRomanPSMT" w:cs="TimesNewRomanPSMT"/>
          <w:b/>
          <w:bCs/>
          <w:noProof/>
          <w:sz w:val="28"/>
          <w:szCs w:val="28"/>
          <w:lang w:val="en-GB" w:eastAsia="en-GB"/>
        </w:rPr>
        <w:drawing>
          <wp:inline distT="0" distB="0" distL="0" distR="0" wp14:anchorId="13D95C90" wp14:editId="14C0C0D4">
            <wp:extent cx="2947853" cy="260032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947" cy="2603937"/>
                    </a:xfrm>
                    <a:prstGeom prst="rect">
                      <a:avLst/>
                    </a:prstGeom>
                    <a:noFill/>
                    <a:ln>
                      <a:noFill/>
                    </a:ln>
                  </pic:spPr>
                </pic:pic>
              </a:graphicData>
            </a:graphic>
          </wp:inline>
        </w:drawing>
      </w:r>
    </w:p>
    <w:p w:rsidR="00AC0669" w:rsidRDefault="00AC0669" w:rsidP="00AC0669">
      <w:pPr>
        <w:rPr>
          <w:noProof/>
          <w:sz w:val="16"/>
          <w:szCs w:val="16"/>
        </w:rPr>
      </w:pPr>
      <w:r w:rsidRPr="00376A56">
        <w:rPr>
          <w:noProof/>
          <w:sz w:val="16"/>
          <w:szCs w:val="16"/>
        </w:rPr>
        <w:t xml:space="preserve">Figure </w:t>
      </w:r>
      <w:r>
        <w:rPr>
          <w:noProof/>
          <w:sz w:val="16"/>
          <w:szCs w:val="16"/>
        </w:rPr>
        <w:t>3</w:t>
      </w:r>
      <w:r w:rsidRPr="00376A56">
        <w:rPr>
          <w:noProof/>
          <w:sz w:val="16"/>
          <w:szCs w:val="16"/>
        </w:rPr>
        <w:t>: Collective SWH system layout with the required measuring sensors (forced – indirect closed system)</w:t>
      </w:r>
    </w:p>
    <w:p w:rsidR="00AC0669" w:rsidRDefault="00AC0669" w:rsidP="00AC0669">
      <w:pPr>
        <w:jc w:val="both"/>
        <w:rPr>
          <w:noProof/>
          <w:sz w:val="16"/>
          <w:szCs w:val="16"/>
        </w:rPr>
      </w:pPr>
    </w:p>
    <w:p w:rsidR="00CE092E" w:rsidRDefault="00CE092E" w:rsidP="00CE092E">
      <w:pPr>
        <w:jc w:val="both"/>
        <w:rPr>
          <w:lang w:val="en-GB"/>
        </w:rPr>
      </w:pPr>
    </w:p>
    <w:p w:rsidR="00CE092E" w:rsidRDefault="00CE092E" w:rsidP="00307BF4">
      <w:pPr>
        <w:jc w:val="both"/>
        <w:rPr>
          <w:lang w:val="en-GB"/>
        </w:rPr>
      </w:pPr>
      <w:r w:rsidRPr="00376A56">
        <w:rPr>
          <w:lang w:val="en-GB"/>
        </w:rPr>
        <w:t>The solar tracking mode of the system is fixed in which the collective SWH system is south-facing 45˚ azimuth angle and inclination angle of the collectors is 42 ˚.</w:t>
      </w:r>
      <w:r w:rsidR="00307BF4">
        <w:rPr>
          <w:lang w:val="en-GB"/>
        </w:rPr>
        <w:t xml:space="preserve"> </w:t>
      </w:r>
      <w:r w:rsidRPr="00376A56">
        <w:rPr>
          <w:lang w:val="en-GB"/>
        </w:rPr>
        <w:t>The total collectors’ area is 77.52 m</w:t>
      </w:r>
      <w:r w:rsidRPr="00203292">
        <w:rPr>
          <w:vertAlign w:val="superscript"/>
          <w:lang w:val="en-GB"/>
        </w:rPr>
        <w:t>2</w:t>
      </w:r>
      <w:r w:rsidRPr="00376A56">
        <w:rPr>
          <w:lang w:val="en-GB"/>
        </w:rPr>
        <w:t xml:space="preserve"> of evacuated type and the cross sectional area of each collector is 2.28 m</w:t>
      </w:r>
      <w:r w:rsidRPr="00203292">
        <w:rPr>
          <w:vertAlign w:val="superscript"/>
          <w:lang w:val="en-GB"/>
        </w:rPr>
        <w:t>2</w:t>
      </w:r>
      <w:r w:rsidRPr="00376A56">
        <w:rPr>
          <w:lang w:val="en-GB"/>
        </w:rPr>
        <w:t>. The capacity of proposed system is 46.7kW taking into account of 5% miscellaneous losses. The annual heating energy delivered by the SWH collector system is 62.2 MWh which corresponds to 60% solar fraction.</w:t>
      </w:r>
    </w:p>
    <w:p w:rsidR="00CE092E" w:rsidRPr="00376A56" w:rsidRDefault="00CE092E" w:rsidP="00CE092E">
      <w:pPr>
        <w:jc w:val="both"/>
        <w:rPr>
          <w:lang w:val="en-GB"/>
        </w:rPr>
      </w:pPr>
    </w:p>
    <w:p w:rsidR="00CE092E" w:rsidRDefault="00CE092E" w:rsidP="00CE092E">
      <w:pPr>
        <w:jc w:val="both"/>
        <w:rPr>
          <w:lang w:val="en-GB"/>
        </w:rPr>
      </w:pPr>
      <w:r w:rsidRPr="00376A56">
        <w:rPr>
          <w:lang w:val="en-GB"/>
        </w:rPr>
        <w:t>The storages capacity of the system is 4000 Litres and two well-insulated storage tanks are used. An external flat plate heat exchanger is used with 85% efficiency. The system includes at least two pumps each of 1kW capacity. The annual energy consumed by the pumps us 2 MWh.</w:t>
      </w:r>
    </w:p>
    <w:p w:rsidR="00CE092E" w:rsidRPr="00376A56" w:rsidRDefault="00CE092E" w:rsidP="00CE092E">
      <w:pPr>
        <w:jc w:val="both"/>
        <w:rPr>
          <w:lang w:val="en-GB"/>
        </w:rPr>
      </w:pPr>
    </w:p>
    <w:p w:rsidR="00AC0669" w:rsidRPr="00D64CCC" w:rsidRDefault="00CE092E" w:rsidP="00CD758A">
      <w:pPr>
        <w:jc w:val="both"/>
        <w:rPr>
          <w:lang w:val="en-GB"/>
        </w:rPr>
      </w:pPr>
      <w:r w:rsidRPr="00376A56">
        <w:rPr>
          <w:lang w:val="en-GB"/>
        </w:rPr>
        <w:t>A diesel fuelled boiler is used to compensate the low radiation in winter or in case of a reduction in water temperature. The proposed boiler capacity is 40kW with seasonal efficiency 85%. The existing diesel fuelled boiler is used in the study.</w:t>
      </w:r>
      <w:r w:rsidR="00CD758A">
        <w:rPr>
          <w:lang w:val="en-GB"/>
        </w:rPr>
        <w:t xml:space="preserve"> </w:t>
      </w:r>
      <w:r w:rsidR="00AC0669" w:rsidRPr="00376A56">
        <w:rPr>
          <w:lang w:val="en-GB"/>
        </w:rPr>
        <w:t>The proposed system is to be installed in the centre of the load as the building is horizontally extended. 10% of miscellaneous losses were proposed in order to compensate the transmission losses.</w:t>
      </w:r>
    </w:p>
    <w:p w:rsidR="00AC0669" w:rsidRDefault="00AC0669" w:rsidP="00CE092E">
      <w:pPr>
        <w:jc w:val="both"/>
        <w:rPr>
          <w:lang w:val="en-GB"/>
        </w:rPr>
      </w:pPr>
    </w:p>
    <w:p w:rsidR="002A7CEF" w:rsidRPr="002A7CEF" w:rsidRDefault="002A7CEF" w:rsidP="002A7CEF">
      <w:pPr>
        <w:pStyle w:val="Heading1"/>
        <w:rPr>
          <w:lang w:val="en-GB"/>
        </w:rPr>
      </w:pPr>
      <w:r w:rsidRPr="002A7CEF">
        <w:rPr>
          <w:lang w:val="en-GB"/>
        </w:rPr>
        <w:t>Environmental Asseessment</w:t>
      </w:r>
    </w:p>
    <w:p w:rsidR="002A7CEF" w:rsidRPr="0007140B" w:rsidRDefault="002A7CEF" w:rsidP="002A7CEF">
      <w:pPr>
        <w:tabs>
          <w:tab w:val="right" w:pos="0"/>
        </w:tabs>
        <w:autoSpaceDE w:val="0"/>
        <w:autoSpaceDN w:val="0"/>
        <w:adjustRightInd w:val="0"/>
        <w:spacing w:before="100" w:beforeAutospacing="1" w:after="100" w:afterAutospacing="1" w:line="276" w:lineRule="auto"/>
        <w:jc w:val="both"/>
        <w:rPr>
          <w:lang w:val="en-GB"/>
        </w:rPr>
      </w:pPr>
      <w:r>
        <w:rPr>
          <w:lang w:val="en-GB"/>
        </w:rPr>
        <w:t xml:space="preserve">The utilization of solar energy has positive environmental impacts besides the savings in money. </w:t>
      </w:r>
      <w:r w:rsidR="008808E0">
        <w:rPr>
          <w:szCs w:val="24"/>
        </w:rPr>
        <w:t xml:space="preserve">This study </w:t>
      </w:r>
      <w:r>
        <w:rPr>
          <w:szCs w:val="24"/>
        </w:rPr>
        <w:t>evaluates</w:t>
      </w:r>
      <w:r w:rsidRPr="00B155EE">
        <w:rPr>
          <w:szCs w:val="24"/>
        </w:rPr>
        <w:t xml:space="preserve"> the environmental impacts from the operation of </w:t>
      </w:r>
      <w:r>
        <w:rPr>
          <w:szCs w:val="24"/>
        </w:rPr>
        <w:t xml:space="preserve">collective SWH system in one of the Palestinian hospitals (Etihad hospital/Nablus) </w:t>
      </w:r>
      <w:r w:rsidRPr="00B155EE">
        <w:rPr>
          <w:szCs w:val="24"/>
        </w:rPr>
        <w:t xml:space="preserve">without </w:t>
      </w:r>
      <w:r>
        <w:rPr>
          <w:szCs w:val="24"/>
        </w:rPr>
        <w:t>considering</w:t>
      </w:r>
      <w:r w:rsidRPr="00B155EE">
        <w:rPr>
          <w:szCs w:val="24"/>
        </w:rPr>
        <w:t xml:space="preserve"> the manufacturing impacts. This study </w:t>
      </w:r>
      <w:r>
        <w:rPr>
          <w:szCs w:val="24"/>
        </w:rPr>
        <w:t>evaluates</w:t>
      </w:r>
      <w:r w:rsidRPr="00B155EE">
        <w:rPr>
          <w:szCs w:val="24"/>
        </w:rPr>
        <w:t xml:space="preserve"> the gas emissions produced in case the utilized solar energy is delivered from electric and diesel boilers. </w:t>
      </w:r>
    </w:p>
    <w:p w:rsidR="002A7CEF" w:rsidRDefault="002A7CEF" w:rsidP="002A7CEF">
      <w:pPr>
        <w:tabs>
          <w:tab w:val="right" w:pos="0"/>
        </w:tabs>
        <w:autoSpaceDE w:val="0"/>
        <w:autoSpaceDN w:val="0"/>
        <w:adjustRightInd w:val="0"/>
        <w:spacing w:before="100" w:beforeAutospacing="1" w:after="100" w:afterAutospacing="1" w:line="276" w:lineRule="auto"/>
        <w:jc w:val="both"/>
        <w:rPr>
          <w:lang w:val="en-GB"/>
        </w:rPr>
      </w:pPr>
      <w:r w:rsidRPr="0044706C">
        <w:rPr>
          <w:lang w:val="en-GB"/>
        </w:rPr>
        <w:t xml:space="preserve">To investigate the environmental benefits of utilizing solar energy instead of conventional sources of energy, air pollution saved derived from the reduction in consumption of electricity and/or diesel, conventionally used for water heating in Palestine, are to be evaluated. It is easy to translate the amounts of energy saved into the corresponding amounts of air pollution saved by using special equations designed to each specific type of </w:t>
      </w:r>
      <w:r w:rsidR="008808E0" w:rsidRPr="00E037EF">
        <w:rPr>
          <w:lang w:val="en-GB"/>
        </w:rPr>
        <w:t xml:space="preserve">pollutants. </w:t>
      </w:r>
    </w:p>
    <w:p w:rsidR="002A7CEF" w:rsidRPr="00E037EF" w:rsidRDefault="002A7CEF" w:rsidP="00307BF4">
      <w:pPr>
        <w:tabs>
          <w:tab w:val="right" w:pos="0"/>
        </w:tabs>
        <w:autoSpaceDE w:val="0"/>
        <w:autoSpaceDN w:val="0"/>
        <w:adjustRightInd w:val="0"/>
        <w:spacing w:before="100" w:beforeAutospacing="1" w:after="100" w:afterAutospacing="1" w:line="276" w:lineRule="auto"/>
        <w:jc w:val="both"/>
        <w:rPr>
          <w:lang w:val="en-GB"/>
        </w:rPr>
      </w:pPr>
      <w:r w:rsidRPr="007F3AD3">
        <w:rPr>
          <w:lang w:val="en-GB"/>
        </w:rPr>
        <w:lastRenderedPageBreak/>
        <w:t xml:space="preserve">Table </w:t>
      </w:r>
      <w:r w:rsidR="00307BF4">
        <w:rPr>
          <w:lang w:val="en-GB"/>
        </w:rPr>
        <w:t>3</w:t>
      </w:r>
      <w:r w:rsidRPr="007F3AD3">
        <w:rPr>
          <w:lang w:val="en-GB"/>
        </w:rPr>
        <w:t xml:space="preserve"> illustrates the </w:t>
      </w:r>
      <w:r>
        <w:rPr>
          <w:lang w:val="en-GB"/>
        </w:rPr>
        <w:t xml:space="preserve">annual </w:t>
      </w:r>
      <w:r w:rsidRPr="007F3AD3">
        <w:rPr>
          <w:lang w:val="en-GB"/>
        </w:rPr>
        <w:t>energy utilized from solar water heater and the corresponding energy required from die</w:t>
      </w:r>
      <w:bookmarkStart w:id="3" w:name="OLE_LINK17"/>
      <w:bookmarkStart w:id="4" w:name="OLE_LINK18"/>
      <w:r w:rsidRPr="007F3AD3">
        <w:rPr>
          <w:lang w:val="en-GB"/>
        </w:rPr>
        <w:t xml:space="preserve"> </w:t>
      </w:r>
      <w:proofErr w:type="spellStart"/>
      <w:r w:rsidRPr="007F3AD3">
        <w:rPr>
          <w:lang w:val="en-GB"/>
        </w:rPr>
        <w:t>sel</w:t>
      </w:r>
      <w:proofErr w:type="spellEnd"/>
      <w:r w:rsidRPr="007F3AD3">
        <w:rPr>
          <w:lang w:val="en-GB"/>
        </w:rPr>
        <w:t>/electric boiler.</w:t>
      </w:r>
    </w:p>
    <w:p w:rsidR="002A7CEF" w:rsidRPr="00E037EF" w:rsidRDefault="002A7CEF" w:rsidP="00307BF4">
      <w:pPr>
        <w:shd w:val="clear" w:color="auto" w:fill="FFFFFF"/>
        <w:tabs>
          <w:tab w:val="right" w:pos="0"/>
        </w:tabs>
        <w:spacing w:before="100" w:beforeAutospacing="1" w:line="276" w:lineRule="auto"/>
        <w:rPr>
          <w:noProof/>
          <w:sz w:val="16"/>
          <w:szCs w:val="16"/>
        </w:rPr>
      </w:pPr>
      <w:r w:rsidRPr="00E037EF">
        <w:rPr>
          <w:noProof/>
          <w:sz w:val="16"/>
          <w:szCs w:val="16"/>
        </w:rPr>
        <w:t xml:space="preserve">Table </w:t>
      </w:r>
      <w:r w:rsidR="00307BF4">
        <w:rPr>
          <w:noProof/>
          <w:sz w:val="16"/>
          <w:szCs w:val="16"/>
        </w:rPr>
        <w:t>3</w:t>
      </w:r>
      <w:r w:rsidRPr="00E037EF">
        <w:rPr>
          <w:noProof/>
          <w:sz w:val="16"/>
          <w:szCs w:val="16"/>
        </w:rPr>
        <w:t>: Annual energy utilized from SWH</w:t>
      </w:r>
    </w:p>
    <w:tbl>
      <w:tblPr>
        <w:tblW w:w="4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50"/>
      </w:tblGrid>
      <w:tr w:rsidR="002A7CEF" w:rsidRPr="007F3AD3" w:rsidTr="00AF4C2C">
        <w:trPr>
          <w:jc w:val="center"/>
        </w:trPr>
        <w:tc>
          <w:tcPr>
            <w:tcW w:w="3658" w:type="pct"/>
            <w:shd w:val="clear" w:color="auto" w:fill="auto"/>
          </w:tcPr>
          <w:bookmarkEnd w:id="3"/>
          <w:bookmarkEnd w:id="4"/>
          <w:p w:rsidR="002A7CEF" w:rsidRPr="007F3AD3" w:rsidRDefault="002A7CEF" w:rsidP="00AF4C2C">
            <w:pPr>
              <w:tabs>
                <w:tab w:val="right" w:pos="0"/>
              </w:tabs>
              <w:spacing w:before="100" w:beforeAutospacing="1" w:after="100" w:afterAutospacing="1" w:line="276" w:lineRule="auto"/>
              <w:rPr>
                <w:rFonts w:eastAsia="Times New Roman"/>
                <w:b/>
                <w:bCs/>
                <w:lang w:eastAsia="sl-SI"/>
              </w:rPr>
            </w:pPr>
            <w:r w:rsidRPr="007F3AD3">
              <w:rPr>
                <w:rFonts w:eastAsia="Times New Roman"/>
                <w:b/>
                <w:bCs/>
                <w:lang w:eastAsia="sl-SI"/>
              </w:rPr>
              <w:t>Energy utilized / needed</w:t>
            </w:r>
          </w:p>
        </w:tc>
        <w:tc>
          <w:tcPr>
            <w:tcW w:w="1342" w:type="pct"/>
            <w:shd w:val="clear" w:color="auto" w:fill="auto"/>
          </w:tcPr>
          <w:p w:rsidR="002A7CEF" w:rsidRPr="007F3AD3" w:rsidRDefault="002A7CEF" w:rsidP="00AF4C2C">
            <w:pPr>
              <w:tabs>
                <w:tab w:val="right" w:pos="0"/>
              </w:tabs>
              <w:spacing w:before="100" w:beforeAutospacing="1" w:after="100" w:afterAutospacing="1" w:line="276" w:lineRule="auto"/>
              <w:rPr>
                <w:rFonts w:eastAsia="Times New Roman"/>
                <w:b/>
                <w:bCs/>
                <w:lang w:eastAsia="sl-SI"/>
              </w:rPr>
            </w:pPr>
            <w:r w:rsidRPr="007F3AD3">
              <w:rPr>
                <w:rFonts w:eastAsia="Times New Roman"/>
                <w:b/>
                <w:bCs/>
              </w:rPr>
              <w:t>MWh</w:t>
            </w:r>
            <w:r>
              <w:rPr>
                <w:rFonts w:eastAsia="Times New Roman"/>
                <w:b/>
                <w:bCs/>
              </w:rPr>
              <w:t>/year</w:t>
            </w:r>
          </w:p>
        </w:tc>
      </w:tr>
      <w:tr w:rsidR="002A7CEF" w:rsidRPr="007F3AD3" w:rsidTr="00AF4C2C">
        <w:trPr>
          <w:jc w:val="center"/>
        </w:trPr>
        <w:tc>
          <w:tcPr>
            <w:tcW w:w="3658" w:type="pct"/>
          </w:tcPr>
          <w:p w:rsidR="002A7CEF" w:rsidRPr="007F3AD3" w:rsidRDefault="002A7CEF" w:rsidP="00AF4C2C">
            <w:pPr>
              <w:tabs>
                <w:tab w:val="right" w:pos="0"/>
              </w:tabs>
              <w:spacing w:before="100" w:beforeAutospacing="1" w:after="100" w:afterAutospacing="1" w:line="276" w:lineRule="auto"/>
              <w:jc w:val="both"/>
              <w:rPr>
                <w:lang w:val="en-GB"/>
              </w:rPr>
            </w:pPr>
            <w:r w:rsidRPr="007F3AD3">
              <w:rPr>
                <w:lang w:val="en-GB"/>
              </w:rPr>
              <w:t>Energy utilized From SWH</w:t>
            </w:r>
          </w:p>
        </w:tc>
        <w:tc>
          <w:tcPr>
            <w:tcW w:w="1342" w:type="pct"/>
          </w:tcPr>
          <w:p w:rsidR="002A7CEF" w:rsidRPr="007F3AD3" w:rsidRDefault="002A7CEF" w:rsidP="00AF4C2C">
            <w:pPr>
              <w:tabs>
                <w:tab w:val="right" w:pos="0"/>
              </w:tabs>
              <w:spacing w:before="100" w:beforeAutospacing="1" w:after="100" w:afterAutospacing="1" w:line="276" w:lineRule="auto"/>
              <w:rPr>
                <w:lang w:val="en-GB"/>
              </w:rPr>
            </w:pPr>
            <w:r w:rsidRPr="00804AD8">
              <w:rPr>
                <w:rFonts w:eastAsia="Times New Roman"/>
              </w:rPr>
              <w:t xml:space="preserve">62.2 </w:t>
            </w:r>
          </w:p>
        </w:tc>
      </w:tr>
      <w:tr w:rsidR="002A7CEF" w:rsidRPr="007F3AD3" w:rsidTr="00AF4C2C">
        <w:trPr>
          <w:jc w:val="center"/>
        </w:trPr>
        <w:tc>
          <w:tcPr>
            <w:tcW w:w="3658" w:type="pct"/>
          </w:tcPr>
          <w:p w:rsidR="002A7CEF" w:rsidRPr="007F3AD3" w:rsidRDefault="002A7CEF" w:rsidP="00AF4C2C">
            <w:pPr>
              <w:tabs>
                <w:tab w:val="right" w:pos="0"/>
              </w:tabs>
              <w:spacing w:before="100" w:beforeAutospacing="1" w:after="100" w:afterAutospacing="1" w:line="276" w:lineRule="auto"/>
              <w:jc w:val="both"/>
              <w:rPr>
                <w:lang w:val="en-GB"/>
              </w:rPr>
            </w:pPr>
            <w:r w:rsidRPr="007F3AD3">
              <w:rPr>
                <w:lang w:val="en-GB"/>
              </w:rPr>
              <w:t xml:space="preserve">Energy  needed from Diesel boiler with 80% efficiency </w:t>
            </w:r>
          </w:p>
        </w:tc>
        <w:tc>
          <w:tcPr>
            <w:tcW w:w="1342" w:type="pct"/>
          </w:tcPr>
          <w:p w:rsidR="002A7CEF" w:rsidRPr="007F3AD3" w:rsidRDefault="002A7CEF" w:rsidP="00AF4C2C">
            <w:pPr>
              <w:tabs>
                <w:tab w:val="right" w:pos="0"/>
              </w:tabs>
              <w:spacing w:before="100" w:beforeAutospacing="1" w:after="100" w:afterAutospacing="1" w:line="276" w:lineRule="auto"/>
              <w:rPr>
                <w:lang w:val="en-GB"/>
              </w:rPr>
            </w:pPr>
            <w:r>
              <w:rPr>
                <w:lang w:val="en-GB"/>
              </w:rPr>
              <w:t>77.75</w:t>
            </w:r>
          </w:p>
        </w:tc>
      </w:tr>
      <w:tr w:rsidR="002A7CEF" w:rsidRPr="007F3AD3" w:rsidTr="00AF4C2C">
        <w:trPr>
          <w:jc w:val="center"/>
        </w:trPr>
        <w:tc>
          <w:tcPr>
            <w:tcW w:w="3658" w:type="pct"/>
          </w:tcPr>
          <w:p w:rsidR="002A7CEF" w:rsidRPr="007F3AD3" w:rsidRDefault="002A7CEF" w:rsidP="00AF4C2C">
            <w:pPr>
              <w:tabs>
                <w:tab w:val="right" w:pos="0"/>
              </w:tabs>
              <w:spacing w:before="100" w:beforeAutospacing="1" w:after="100" w:afterAutospacing="1" w:line="276" w:lineRule="auto"/>
              <w:jc w:val="both"/>
              <w:rPr>
                <w:lang w:val="en-GB"/>
              </w:rPr>
            </w:pPr>
            <w:r w:rsidRPr="007F3AD3">
              <w:rPr>
                <w:lang w:val="en-GB"/>
              </w:rPr>
              <w:t xml:space="preserve">Energy  needed from electric boiler with 90% efficiency </w:t>
            </w:r>
          </w:p>
        </w:tc>
        <w:tc>
          <w:tcPr>
            <w:tcW w:w="1342" w:type="pct"/>
          </w:tcPr>
          <w:p w:rsidR="002A7CEF" w:rsidRPr="007F3AD3" w:rsidRDefault="002A7CEF" w:rsidP="00AF4C2C">
            <w:pPr>
              <w:tabs>
                <w:tab w:val="right" w:pos="0"/>
              </w:tabs>
              <w:spacing w:before="100" w:beforeAutospacing="1" w:after="100" w:afterAutospacing="1" w:line="276" w:lineRule="auto"/>
              <w:rPr>
                <w:lang w:val="en-GB"/>
              </w:rPr>
            </w:pPr>
            <w:r>
              <w:rPr>
                <w:lang w:val="en-GB"/>
              </w:rPr>
              <w:t>69.12</w:t>
            </w:r>
          </w:p>
        </w:tc>
      </w:tr>
    </w:tbl>
    <w:p w:rsidR="002A7CEF" w:rsidRPr="00CD758A" w:rsidRDefault="002A7CEF" w:rsidP="00CD758A">
      <w:pPr>
        <w:tabs>
          <w:tab w:val="right" w:pos="0"/>
        </w:tabs>
        <w:autoSpaceDE w:val="0"/>
        <w:autoSpaceDN w:val="0"/>
        <w:adjustRightInd w:val="0"/>
        <w:spacing w:before="100" w:beforeAutospacing="1" w:after="100" w:afterAutospacing="1"/>
        <w:jc w:val="both"/>
        <w:rPr>
          <w:lang w:val="en-GB"/>
        </w:rPr>
      </w:pPr>
      <w:r w:rsidRPr="00552BDF">
        <w:rPr>
          <w:lang w:val="en-GB"/>
        </w:rPr>
        <w:t>This amount of energy in case it is taken from diesel or electric boiler could save significant quantities of gas emissions mainly carbon dioxide (CO</w:t>
      </w:r>
      <w:r w:rsidRPr="00552BDF">
        <w:rPr>
          <w:vertAlign w:val="subscript"/>
          <w:lang w:val="en-GB"/>
        </w:rPr>
        <w:t>2</w:t>
      </w:r>
      <w:r w:rsidRPr="00552BDF">
        <w:rPr>
          <w:lang w:val="en-GB"/>
        </w:rPr>
        <w:t>) which is considered the main player of greenhouse gases. The CO</w:t>
      </w:r>
      <w:r w:rsidRPr="00552BDF">
        <w:rPr>
          <w:vertAlign w:val="subscript"/>
          <w:lang w:val="en-GB"/>
        </w:rPr>
        <w:t>2</w:t>
      </w:r>
      <w:r w:rsidRPr="00552BDF">
        <w:rPr>
          <w:lang w:val="en-GB"/>
        </w:rPr>
        <w:t xml:space="preserve"> saved emissions by utilizing collective SWH is shown </w:t>
      </w:r>
      <w:r w:rsidRPr="00E037EF">
        <w:rPr>
          <w:lang w:val="en-GB"/>
        </w:rPr>
        <w:t>in Figure</w:t>
      </w:r>
      <w:r>
        <w:rPr>
          <w:lang w:val="en-GB"/>
        </w:rPr>
        <w:t xml:space="preserve"> </w:t>
      </w:r>
      <w:r w:rsidR="00307BF4">
        <w:rPr>
          <w:lang w:val="en-GB"/>
        </w:rPr>
        <w:t>4</w:t>
      </w:r>
      <w:r w:rsidR="00CD758A">
        <w:rPr>
          <w:lang w:val="en-GB"/>
        </w:rPr>
        <w:t>.</w:t>
      </w:r>
    </w:p>
    <w:p w:rsidR="0003668D" w:rsidRDefault="0003668D" w:rsidP="00307BF4">
      <w:pPr>
        <w:tabs>
          <w:tab w:val="right" w:pos="0"/>
        </w:tabs>
        <w:rPr>
          <w:szCs w:val="24"/>
        </w:rPr>
      </w:pPr>
      <w:r>
        <w:rPr>
          <w:noProof/>
          <w:szCs w:val="24"/>
          <w:lang w:val="en-GB" w:eastAsia="en-GB"/>
        </w:rPr>
        <w:drawing>
          <wp:inline distT="0" distB="0" distL="0" distR="0">
            <wp:extent cx="2993720" cy="2276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3720" cy="2276475"/>
                    </a:xfrm>
                    <a:prstGeom prst="rect">
                      <a:avLst/>
                    </a:prstGeom>
                    <a:noFill/>
                    <a:ln>
                      <a:noFill/>
                    </a:ln>
                  </pic:spPr>
                </pic:pic>
              </a:graphicData>
            </a:graphic>
          </wp:inline>
        </w:drawing>
      </w:r>
    </w:p>
    <w:p w:rsidR="002A7CEF" w:rsidRPr="00D75976" w:rsidRDefault="002A7CEF" w:rsidP="00307BF4">
      <w:pPr>
        <w:tabs>
          <w:tab w:val="right" w:pos="0"/>
        </w:tabs>
        <w:rPr>
          <w:szCs w:val="24"/>
        </w:rPr>
      </w:pPr>
      <w:r w:rsidRPr="00E037EF">
        <w:rPr>
          <w:szCs w:val="24"/>
        </w:rPr>
        <w:t xml:space="preserve">Figure </w:t>
      </w:r>
      <w:r w:rsidR="00307BF4">
        <w:rPr>
          <w:szCs w:val="24"/>
        </w:rPr>
        <w:t>4</w:t>
      </w:r>
      <w:r w:rsidRPr="00E037EF">
        <w:rPr>
          <w:szCs w:val="24"/>
        </w:rPr>
        <w:t xml:space="preserve">: </w:t>
      </w:r>
      <w:r w:rsidRPr="00552BDF">
        <w:rPr>
          <w:szCs w:val="24"/>
        </w:rPr>
        <w:t>CO</w:t>
      </w:r>
      <w:r w:rsidRPr="00961D10">
        <w:rPr>
          <w:szCs w:val="24"/>
          <w:vertAlign w:val="subscript"/>
        </w:rPr>
        <w:t>2</w:t>
      </w:r>
      <w:r w:rsidRPr="00552BDF">
        <w:rPr>
          <w:szCs w:val="24"/>
        </w:rPr>
        <w:t xml:space="preserve"> saved emissions by utilizing collective SWH </w:t>
      </w:r>
    </w:p>
    <w:p w:rsidR="002A7CEF" w:rsidRDefault="002A7CEF" w:rsidP="00307BF4">
      <w:pPr>
        <w:tabs>
          <w:tab w:val="right" w:pos="0"/>
        </w:tabs>
        <w:autoSpaceDE w:val="0"/>
        <w:autoSpaceDN w:val="0"/>
        <w:adjustRightInd w:val="0"/>
        <w:spacing w:before="100" w:beforeAutospacing="1" w:after="100" w:afterAutospacing="1"/>
        <w:jc w:val="both"/>
        <w:rPr>
          <w:rFonts w:eastAsia="Times New Roman"/>
          <w:sz w:val="24"/>
          <w:szCs w:val="24"/>
          <w:lang w:eastAsia="sl-SI"/>
        </w:rPr>
      </w:pPr>
      <w:r>
        <w:rPr>
          <w:lang w:val="en-GB"/>
        </w:rPr>
        <w:t xml:space="preserve">Figure </w:t>
      </w:r>
      <w:r w:rsidR="00307BF4">
        <w:rPr>
          <w:lang w:val="en-GB"/>
        </w:rPr>
        <w:t>5</w:t>
      </w:r>
      <w:r w:rsidRPr="00E037EF">
        <w:rPr>
          <w:lang w:val="en-GB"/>
        </w:rPr>
        <w:t xml:space="preserve"> shows the amounts of saved emissions of other pollutants types</w:t>
      </w:r>
      <w:r w:rsidRPr="00567FC4">
        <w:rPr>
          <w:rFonts w:eastAsia="Times New Roman"/>
          <w:sz w:val="24"/>
          <w:szCs w:val="24"/>
          <w:lang w:eastAsia="sl-SI"/>
        </w:rPr>
        <w:t>.</w:t>
      </w:r>
      <w:r w:rsidR="00CD758A">
        <w:rPr>
          <w:rFonts w:eastAsia="Times New Roman"/>
          <w:sz w:val="24"/>
          <w:szCs w:val="24"/>
          <w:lang w:eastAsia="sl-SI"/>
        </w:rPr>
        <w:t xml:space="preserve"> </w:t>
      </w:r>
    </w:p>
    <w:p w:rsidR="00CD758A" w:rsidRPr="00CD758A" w:rsidRDefault="00CD758A" w:rsidP="00CD758A">
      <w:pPr>
        <w:shd w:val="clear" w:color="auto" w:fill="FFFFFF"/>
        <w:tabs>
          <w:tab w:val="right" w:pos="0"/>
        </w:tabs>
        <w:spacing w:line="276" w:lineRule="auto"/>
        <w:jc w:val="both"/>
        <w:rPr>
          <w:szCs w:val="24"/>
          <w:lang w:eastAsia="it-IT"/>
        </w:rPr>
      </w:pPr>
      <w:r w:rsidRPr="00D517AE">
        <w:rPr>
          <w:lang w:val="en-GB"/>
        </w:rPr>
        <w:t>Collective SWH systems have a good potential to reduce gas emissions which are considered an important factor to evaluate the performance of any energy system. The results show that by using solar energy, considerable amounts of greenhouse polluting gasses are saved.</w:t>
      </w:r>
      <w:r>
        <w:rPr>
          <w:lang w:val="en-GB"/>
        </w:rPr>
        <w:t xml:space="preserve"> </w:t>
      </w:r>
      <w:r w:rsidRPr="00D517AE">
        <w:rPr>
          <w:lang w:val="en-GB"/>
        </w:rPr>
        <w:t xml:space="preserve">The investigated system gives positive and very promising performance and financial characteristics. Therefore, utilizing the collective solar </w:t>
      </w:r>
      <w:r w:rsidRPr="00D517AE">
        <w:rPr>
          <w:lang w:val="en-GB"/>
        </w:rPr>
        <w:t xml:space="preserve">heating is efficient, cost effective and friendlier to the environment. The reduction of greenhouse gasses pollution is the main advantage of utilizing </w:t>
      </w:r>
      <w:r w:rsidRPr="00CD758A">
        <w:rPr>
          <w:lang w:val="en-GB"/>
        </w:rPr>
        <w:t>solar</w:t>
      </w:r>
      <w:r w:rsidRPr="00CD758A">
        <w:rPr>
          <w:szCs w:val="24"/>
          <w:lang w:eastAsia="it-IT"/>
        </w:rPr>
        <w:t xml:space="preserve"> </w:t>
      </w:r>
      <w:r w:rsidRPr="00CD758A">
        <w:rPr>
          <w:lang w:val="en-GB"/>
        </w:rPr>
        <w:t>e</w:t>
      </w:r>
      <w:r w:rsidRPr="00D517AE">
        <w:rPr>
          <w:lang w:val="en-GB"/>
        </w:rPr>
        <w:t>nergy. Therefore, solar energy systems should be employed whenever possible in order to achieve a sustainable future</w:t>
      </w:r>
      <w:r>
        <w:rPr>
          <w:szCs w:val="24"/>
          <w:lang w:eastAsia="it-IT"/>
        </w:rPr>
        <w:t>.</w:t>
      </w:r>
    </w:p>
    <w:p w:rsidR="002A7CEF" w:rsidRPr="00E037EF" w:rsidRDefault="002A7CEF" w:rsidP="002A7CEF">
      <w:pPr>
        <w:tabs>
          <w:tab w:val="right" w:pos="0"/>
        </w:tabs>
        <w:autoSpaceDE w:val="0"/>
        <w:autoSpaceDN w:val="0"/>
        <w:adjustRightInd w:val="0"/>
        <w:jc w:val="both"/>
        <w:rPr>
          <w:rFonts w:eastAsia="Times New Roman"/>
          <w:sz w:val="24"/>
          <w:szCs w:val="24"/>
          <w:lang w:eastAsia="sl-SI"/>
        </w:rPr>
      </w:pPr>
      <w:r>
        <w:rPr>
          <w:rFonts w:eastAsia="Times New Roman"/>
          <w:noProof/>
          <w:sz w:val="24"/>
          <w:szCs w:val="24"/>
          <w:lang w:val="en-GB" w:eastAsia="en-GB"/>
        </w:rPr>
        <w:drawing>
          <wp:inline distT="0" distB="0" distL="0" distR="0" wp14:anchorId="0078824D" wp14:editId="2A2B7953">
            <wp:extent cx="3332104" cy="2409825"/>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2104" cy="2409825"/>
                    </a:xfrm>
                    <a:prstGeom prst="rect">
                      <a:avLst/>
                    </a:prstGeom>
                    <a:noFill/>
                    <a:ln>
                      <a:noFill/>
                    </a:ln>
                  </pic:spPr>
                </pic:pic>
              </a:graphicData>
            </a:graphic>
          </wp:inline>
        </w:drawing>
      </w:r>
    </w:p>
    <w:p w:rsidR="002A7CEF" w:rsidRPr="00E037EF" w:rsidRDefault="002A7CEF" w:rsidP="00307BF4">
      <w:pPr>
        <w:tabs>
          <w:tab w:val="right" w:pos="0"/>
        </w:tabs>
        <w:rPr>
          <w:szCs w:val="24"/>
        </w:rPr>
      </w:pPr>
      <w:r w:rsidRPr="00E037EF">
        <w:rPr>
          <w:szCs w:val="24"/>
        </w:rPr>
        <w:t>Fig</w:t>
      </w:r>
      <w:r>
        <w:rPr>
          <w:szCs w:val="24"/>
        </w:rPr>
        <w:t xml:space="preserve">ure </w:t>
      </w:r>
      <w:r w:rsidR="00307BF4">
        <w:rPr>
          <w:szCs w:val="24"/>
        </w:rPr>
        <w:t>5</w:t>
      </w:r>
      <w:r w:rsidRPr="00E037EF">
        <w:rPr>
          <w:szCs w:val="24"/>
        </w:rPr>
        <w:t xml:space="preserve">: Different saved gas emissions by utilizing collective SWH </w:t>
      </w:r>
    </w:p>
    <w:p w:rsidR="002A7CEF" w:rsidRPr="002A7CEF" w:rsidRDefault="002A7CEF" w:rsidP="002A7CEF">
      <w:pPr>
        <w:pStyle w:val="Heading1"/>
        <w:numPr>
          <w:ilvl w:val="0"/>
          <w:numId w:val="26"/>
        </w:numPr>
        <w:rPr>
          <w:lang w:val="en-GB"/>
        </w:rPr>
      </w:pPr>
      <w:r>
        <w:t>Financial analysis</w:t>
      </w:r>
    </w:p>
    <w:p w:rsidR="000B5B44" w:rsidRPr="008C16D9" w:rsidRDefault="00C513B8" w:rsidP="00CD758A">
      <w:pPr>
        <w:spacing w:before="100" w:beforeAutospacing="1" w:after="100" w:afterAutospacing="1"/>
        <w:jc w:val="both"/>
        <w:rPr>
          <w:lang w:val="en-GB"/>
        </w:rPr>
      </w:pPr>
      <w:r>
        <w:rPr>
          <w:rFonts w:eastAsia="Times New Roman"/>
          <w:color w:val="000000"/>
          <w:sz w:val="24"/>
          <w:szCs w:val="24"/>
          <w:lang w:val="en-GB" w:eastAsia="it-IT"/>
        </w:rPr>
        <w:t xml:space="preserve"> </w:t>
      </w:r>
      <w:r w:rsidRPr="00376A56">
        <w:rPr>
          <w:lang w:val="en-GB"/>
        </w:rPr>
        <w:t xml:space="preserve">The inflation rate is projected to be 15% over the 20-year life of the project. The current electricity tariff is 0.17$/kWh. The cost of the SWH system can be depreciated in the first year in accordance with the tax laws favouring the use of renewable energy equipment. </w:t>
      </w:r>
      <w:r w:rsidR="008C16D9">
        <w:rPr>
          <w:lang w:val="en-GB"/>
        </w:rPr>
        <w:t xml:space="preserve"> </w:t>
      </w:r>
      <w:r w:rsidR="000B5B44" w:rsidRPr="00804AD8">
        <w:rPr>
          <w:rFonts w:eastAsia="Times New Roman"/>
        </w:rPr>
        <w:t xml:space="preserve">The financial viability of the proposed project is illustrated Table </w:t>
      </w:r>
      <w:r w:rsidR="008808E0">
        <w:rPr>
          <w:rFonts w:eastAsia="Times New Roman"/>
        </w:rPr>
        <w:t>4</w:t>
      </w:r>
      <w:r w:rsidR="000B5B44" w:rsidRPr="00804AD8">
        <w:rPr>
          <w:rFonts w:eastAsia="Times New Roman"/>
        </w:rPr>
        <w:t xml:space="preserve">. </w:t>
      </w:r>
    </w:p>
    <w:p w:rsidR="000B5B44" w:rsidRPr="00A41B52" w:rsidRDefault="000B5B44" w:rsidP="008808E0">
      <w:pPr>
        <w:rPr>
          <w:noProof/>
          <w:sz w:val="16"/>
          <w:szCs w:val="16"/>
        </w:rPr>
      </w:pPr>
      <w:r w:rsidRPr="00A41B52">
        <w:rPr>
          <w:noProof/>
          <w:sz w:val="16"/>
          <w:szCs w:val="16"/>
        </w:rPr>
        <w:t xml:space="preserve">Table </w:t>
      </w:r>
      <w:r w:rsidR="008808E0">
        <w:rPr>
          <w:noProof/>
          <w:sz w:val="16"/>
          <w:szCs w:val="16"/>
        </w:rPr>
        <w:t>4</w:t>
      </w:r>
      <w:r w:rsidRPr="00A41B52">
        <w:rPr>
          <w:noProof/>
          <w:sz w:val="16"/>
          <w:szCs w:val="16"/>
        </w:rPr>
        <w:t>: Financial viability of the proposed collective SWH system</w:t>
      </w:r>
    </w:p>
    <w:tbl>
      <w:tblPr>
        <w:tblW w:w="391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720"/>
        <w:gridCol w:w="1080"/>
      </w:tblGrid>
      <w:tr w:rsidR="000B5B44" w:rsidRPr="00804AD8" w:rsidTr="00AF4C2C">
        <w:trPr>
          <w:trHeight w:val="270"/>
        </w:trPr>
        <w:tc>
          <w:tcPr>
            <w:tcW w:w="2115" w:type="dxa"/>
            <w:shd w:val="clear" w:color="000000" w:fill="FFFFFF"/>
            <w:noWrap/>
            <w:vAlign w:val="bottom"/>
            <w:hideMark/>
          </w:tcPr>
          <w:p w:rsidR="000B5B44" w:rsidRPr="00A41B52" w:rsidRDefault="000B5B44" w:rsidP="00AF4C2C">
            <w:pPr>
              <w:jc w:val="left"/>
              <w:rPr>
                <w:rFonts w:asciiTheme="majorBidi" w:hAnsiTheme="majorBidi" w:cstheme="majorBidi"/>
              </w:rPr>
            </w:pPr>
            <w:r w:rsidRPr="00A41B52">
              <w:rPr>
                <w:rFonts w:asciiTheme="majorBidi" w:hAnsiTheme="majorBidi" w:cstheme="majorBidi"/>
              </w:rPr>
              <w:t>Pre-tax IRR - assets</w:t>
            </w:r>
          </w:p>
        </w:tc>
        <w:tc>
          <w:tcPr>
            <w:tcW w:w="720" w:type="dxa"/>
            <w:shd w:val="clear" w:color="000000" w:fill="FFFFFF"/>
            <w:noWrap/>
            <w:vAlign w:val="bottom"/>
            <w:hideMark/>
          </w:tcPr>
          <w:p w:rsidR="000B5B44" w:rsidRPr="00A41B52" w:rsidRDefault="000B5B44" w:rsidP="00AF4C2C">
            <w:pPr>
              <w:rPr>
                <w:rFonts w:asciiTheme="majorBidi" w:hAnsiTheme="majorBidi" w:cstheme="majorBidi"/>
              </w:rPr>
            </w:pPr>
            <w:r w:rsidRPr="00A41B52">
              <w:rPr>
                <w:rFonts w:asciiTheme="majorBidi" w:hAnsiTheme="majorBidi" w:cstheme="majorBidi"/>
              </w:rPr>
              <w:t>%</w:t>
            </w:r>
          </w:p>
        </w:tc>
        <w:tc>
          <w:tcPr>
            <w:tcW w:w="1080" w:type="dxa"/>
            <w:shd w:val="clear" w:color="000000" w:fill="FFFFFF"/>
            <w:noWrap/>
            <w:vAlign w:val="bottom"/>
            <w:hideMark/>
          </w:tcPr>
          <w:p w:rsidR="000B5B44" w:rsidRPr="00A41B52" w:rsidRDefault="000B5B44" w:rsidP="00AF4C2C">
            <w:pPr>
              <w:rPr>
                <w:rFonts w:asciiTheme="majorBidi" w:hAnsiTheme="majorBidi" w:cstheme="majorBidi"/>
              </w:rPr>
            </w:pPr>
            <w:r w:rsidRPr="00A41B52">
              <w:rPr>
                <w:rFonts w:asciiTheme="majorBidi" w:hAnsiTheme="majorBidi" w:cstheme="majorBidi"/>
              </w:rPr>
              <w:t>56.6%</w:t>
            </w:r>
          </w:p>
        </w:tc>
      </w:tr>
      <w:tr w:rsidR="000B5B44" w:rsidRPr="00804AD8" w:rsidTr="00AF4C2C">
        <w:trPr>
          <w:trHeight w:val="270"/>
        </w:trPr>
        <w:tc>
          <w:tcPr>
            <w:tcW w:w="2115" w:type="dxa"/>
            <w:shd w:val="clear" w:color="000000" w:fill="FFFFFF"/>
            <w:noWrap/>
            <w:vAlign w:val="bottom"/>
            <w:hideMark/>
          </w:tcPr>
          <w:p w:rsidR="000B5B44" w:rsidRPr="00A41B52" w:rsidRDefault="000B5B44" w:rsidP="00AF4C2C">
            <w:pPr>
              <w:jc w:val="left"/>
              <w:rPr>
                <w:rFonts w:asciiTheme="majorBidi" w:hAnsiTheme="majorBidi" w:cstheme="majorBidi"/>
              </w:rPr>
            </w:pPr>
            <w:r w:rsidRPr="00A41B52">
              <w:rPr>
                <w:rFonts w:asciiTheme="majorBidi" w:hAnsiTheme="majorBidi" w:cstheme="majorBidi"/>
              </w:rPr>
              <w:t>Simple payback</w:t>
            </w:r>
          </w:p>
        </w:tc>
        <w:tc>
          <w:tcPr>
            <w:tcW w:w="720" w:type="dxa"/>
            <w:shd w:val="clear" w:color="000000" w:fill="FFFFFF"/>
            <w:noWrap/>
            <w:vAlign w:val="bottom"/>
            <w:hideMark/>
          </w:tcPr>
          <w:p w:rsidR="000B5B44" w:rsidRPr="00A41B52" w:rsidRDefault="000B5B44" w:rsidP="00AF4C2C">
            <w:pPr>
              <w:rPr>
                <w:rFonts w:asciiTheme="majorBidi" w:hAnsiTheme="majorBidi" w:cstheme="majorBidi"/>
              </w:rPr>
            </w:pPr>
            <w:proofErr w:type="spellStart"/>
            <w:r w:rsidRPr="00A41B52">
              <w:rPr>
                <w:rFonts w:asciiTheme="majorBidi" w:hAnsiTheme="majorBidi" w:cstheme="majorBidi"/>
              </w:rPr>
              <w:t>yr</w:t>
            </w:r>
            <w:proofErr w:type="spellEnd"/>
          </w:p>
        </w:tc>
        <w:tc>
          <w:tcPr>
            <w:tcW w:w="1080" w:type="dxa"/>
            <w:shd w:val="clear" w:color="000000" w:fill="FFFFFF"/>
            <w:noWrap/>
            <w:vAlign w:val="bottom"/>
            <w:hideMark/>
          </w:tcPr>
          <w:p w:rsidR="000B5B44" w:rsidRPr="00A41B52" w:rsidRDefault="000B5B44" w:rsidP="00AF4C2C">
            <w:pPr>
              <w:rPr>
                <w:rFonts w:asciiTheme="majorBidi" w:hAnsiTheme="majorBidi" w:cstheme="majorBidi"/>
              </w:rPr>
            </w:pPr>
            <w:r w:rsidRPr="00A41B52">
              <w:rPr>
                <w:rFonts w:asciiTheme="majorBidi" w:hAnsiTheme="majorBidi" w:cstheme="majorBidi"/>
              </w:rPr>
              <w:t>2.8</w:t>
            </w:r>
          </w:p>
        </w:tc>
      </w:tr>
      <w:tr w:rsidR="000B5B44" w:rsidRPr="00804AD8" w:rsidTr="00AF4C2C">
        <w:trPr>
          <w:trHeight w:val="270"/>
        </w:trPr>
        <w:tc>
          <w:tcPr>
            <w:tcW w:w="2115" w:type="dxa"/>
            <w:shd w:val="clear" w:color="000000" w:fill="FFFFFF"/>
            <w:noWrap/>
            <w:vAlign w:val="bottom"/>
            <w:hideMark/>
          </w:tcPr>
          <w:p w:rsidR="000B5B44" w:rsidRPr="00A41B52" w:rsidRDefault="000B5B44" w:rsidP="00AF4C2C">
            <w:pPr>
              <w:jc w:val="left"/>
              <w:rPr>
                <w:rFonts w:asciiTheme="majorBidi" w:hAnsiTheme="majorBidi" w:cstheme="majorBidi"/>
              </w:rPr>
            </w:pPr>
            <w:r w:rsidRPr="00A41B52">
              <w:rPr>
                <w:rFonts w:asciiTheme="majorBidi" w:hAnsiTheme="majorBidi" w:cstheme="majorBidi"/>
              </w:rPr>
              <w:t>Equity payback</w:t>
            </w:r>
          </w:p>
        </w:tc>
        <w:tc>
          <w:tcPr>
            <w:tcW w:w="720" w:type="dxa"/>
            <w:shd w:val="clear" w:color="000000" w:fill="FFFFFF"/>
            <w:noWrap/>
            <w:vAlign w:val="bottom"/>
            <w:hideMark/>
          </w:tcPr>
          <w:p w:rsidR="000B5B44" w:rsidRPr="00A41B52" w:rsidRDefault="000B5B44" w:rsidP="00AF4C2C">
            <w:pPr>
              <w:rPr>
                <w:rFonts w:asciiTheme="majorBidi" w:hAnsiTheme="majorBidi" w:cstheme="majorBidi"/>
              </w:rPr>
            </w:pPr>
            <w:proofErr w:type="spellStart"/>
            <w:r w:rsidRPr="00A41B52">
              <w:rPr>
                <w:rFonts w:asciiTheme="majorBidi" w:hAnsiTheme="majorBidi" w:cstheme="majorBidi"/>
              </w:rPr>
              <w:t>yr</w:t>
            </w:r>
            <w:proofErr w:type="spellEnd"/>
          </w:p>
        </w:tc>
        <w:tc>
          <w:tcPr>
            <w:tcW w:w="1080" w:type="dxa"/>
            <w:shd w:val="clear" w:color="000000" w:fill="FFFFFF"/>
            <w:noWrap/>
            <w:vAlign w:val="bottom"/>
            <w:hideMark/>
          </w:tcPr>
          <w:p w:rsidR="000B5B44" w:rsidRPr="00A41B52" w:rsidRDefault="000B5B44" w:rsidP="00AF4C2C">
            <w:pPr>
              <w:rPr>
                <w:rFonts w:asciiTheme="majorBidi" w:hAnsiTheme="majorBidi" w:cstheme="majorBidi"/>
              </w:rPr>
            </w:pPr>
            <w:r w:rsidRPr="00A41B52">
              <w:rPr>
                <w:rFonts w:asciiTheme="majorBidi" w:hAnsiTheme="majorBidi" w:cstheme="majorBidi"/>
              </w:rPr>
              <w:t>2.2</w:t>
            </w:r>
          </w:p>
        </w:tc>
      </w:tr>
    </w:tbl>
    <w:p w:rsidR="00CD758A" w:rsidRDefault="00CD758A" w:rsidP="00CD758A">
      <w:pPr>
        <w:pStyle w:val="topictext"/>
        <w:spacing w:before="0" w:beforeAutospacing="0"/>
        <w:jc w:val="both"/>
        <w:rPr>
          <w:sz w:val="20"/>
          <w:szCs w:val="20"/>
        </w:rPr>
      </w:pPr>
    </w:p>
    <w:p w:rsidR="000B5B44" w:rsidRDefault="000B5B44" w:rsidP="00CD758A">
      <w:pPr>
        <w:pStyle w:val="topictext"/>
        <w:spacing w:before="0" w:beforeAutospacing="0"/>
        <w:jc w:val="both"/>
        <w:rPr>
          <w:sz w:val="20"/>
          <w:szCs w:val="20"/>
        </w:rPr>
      </w:pPr>
      <w:r w:rsidRPr="00804AD8">
        <w:rPr>
          <w:sz w:val="20"/>
          <w:szCs w:val="20"/>
        </w:rPr>
        <w:t>The pre-tax IRR is less than the inflation rate which is an indication of the feasibility of this project. The simple payback period is about three years which is considered another indication of the project’s feasibility. After 2.2 years the project starts to recover the costs.</w:t>
      </w:r>
      <w:r>
        <w:rPr>
          <w:sz w:val="20"/>
          <w:szCs w:val="20"/>
        </w:rPr>
        <w:t xml:space="preserve"> </w:t>
      </w:r>
      <w:r w:rsidRPr="00804AD8">
        <w:rPr>
          <w:sz w:val="20"/>
          <w:szCs w:val="20"/>
        </w:rPr>
        <w:t xml:space="preserve">Figure </w:t>
      </w:r>
      <w:r>
        <w:rPr>
          <w:sz w:val="20"/>
          <w:szCs w:val="20"/>
        </w:rPr>
        <w:t>6</w:t>
      </w:r>
      <w:r w:rsidRPr="00804AD8">
        <w:rPr>
          <w:sz w:val="20"/>
          <w:szCs w:val="20"/>
        </w:rPr>
        <w:t xml:space="preserve"> shows the cumulative cash flows of the proposed project.</w:t>
      </w:r>
    </w:p>
    <w:p w:rsidR="00CD758A" w:rsidRPr="00804AD8" w:rsidRDefault="00CD758A" w:rsidP="00CD758A">
      <w:pPr>
        <w:pStyle w:val="Heading1"/>
      </w:pPr>
      <w:r w:rsidRPr="00804AD8">
        <w:t xml:space="preserve">Conclusion  </w:t>
      </w:r>
    </w:p>
    <w:p w:rsidR="00CD758A" w:rsidRPr="00CD758A" w:rsidRDefault="00CD758A" w:rsidP="00CD758A">
      <w:pPr>
        <w:spacing w:line="276" w:lineRule="auto"/>
        <w:jc w:val="both"/>
        <w:rPr>
          <w:rFonts w:eastAsia="Times New Roman"/>
        </w:rPr>
      </w:pPr>
      <w:r w:rsidRPr="00CD758A">
        <w:rPr>
          <w:rFonts w:eastAsia="Times New Roman"/>
        </w:rPr>
        <w:t>Utilizing SWH technology in Palestine for water heating is feasible, efficient, and cost effective.</w:t>
      </w:r>
    </w:p>
    <w:p w:rsidR="00CD758A" w:rsidRPr="00CD758A" w:rsidRDefault="00CD758A" w:rsidP="00CD758A">
      <w:pPr>
        <w:jc w:val="both"/>
        <w:rPr>
          <w:rFonts w:eastAsia="Times New Roman"/>
        </w:rPr>
      </w:pPr>
      <w:r w:rsidRPr="00CD758A">
        <w:rPr>
          <w:rFonts w:eastAsia="Times New Roman"/>
        </w:rPr>
        <w:lastRenderedPageBreak/>
        <w:t>The utilized annual heat energy from the proposed collective SWH system of the hospital is 62.2 MWh and the corresponding CO</w:t>
      </w:r>
      <w:r w:rsidRPr="00CD758A">
        <w:rPr>
          <w:rFonts w:eastAsia="Times New Roman"/>
          <w:vertAlign w:val="subscript"/>
        </w:rPr>
        <w:t>2</w:t>
      </w:r>
      <w:r w:rsidRPr="00CD758A">
        <w:rPr>
          <w:rFonts w:eastAsia="Times New Roman"/>
        </w:rPr>
        <w:t xml:space="preserve"> saving is about 72.5 tons on the basis that coal is the base case electricity system fuel type while The CO</w:t>
      </w:r>
      <w:r w:rsidRPr="00CD758A">
        <w:rPr>
          <w:rFonts w:eastAsia="Times New Roman"/>
          <w:vertAlign w:val="subscript"/>
        </w:rPr>
        <w:t>2</w:t>
      </w:r>
      <w:r w:rsidRPr="00CD758A">
        <w:rPr>
          <w:rFonts w:eastAsia="Times New Roman"/>
        </w:rPr>
        <w:t xml:space="preserve"> saving is about 27.9 tons if a diesel boiler provides the system with the required energy.</w:t>
      </w:r>
    </w:p>
    <w:p w:rsidR="000B5B44" w:rsidRDefault="000B5B44" w:rsidP="00CD758A">
      <w:pPr>
        <w:jc w:val="both"/>
        <w:rPr>
          <w:rFonts w:eastAsia="Times New Roman"/>
        </w:rPr>
      </w:pPr>
      <w:r w:rsidRPr="00804AD8">
        <w:rPr>
          <w:rFonts w:eastAsia="Times New Roman"/>
          <w:b/>
          <w:bCs/>
          <w:noProof/>
          <w:lang w:val="en-GB" w:eastAsia="en-GB"/>
        </w:rPr>
        <w:drawing>
          <wp:inline distT="0" distB="0" distL="0" distR="0" wp14:anchorId="5CE69234" wp14:editId="1483C510">
            <wp:extent cx="2933700" cy="1712789"/>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255" cy="1731212"/>
                    </a:xfrm>
                    <a:prstGeom prst="rect">
                      <a:avLst/>
                    </a:prstGeom>
                    <a:noFill/>
                    <a:ln>
                      <a:noFill/>
                    </a:ln>
                  </pic:spPr>
                </pic:pic>
              </a:graphicData>
            </a:graphic>
          </wp:inline>
        </w:drawing>
      </w:r>
    </w:p>
    <w:p w:rsidR="000B5B44" w:rsidRPr="00A41B52" w:rsidRDefault="000B5B44" w:rsidP="00CD758A">
      <w:pPr>
        <w:rPr>
          <w:noProof/>
          <w:sz w:val="16"/>
          <w:szCs w:val="16"/>
        </w:rPr>
      </w:pPr>
      <w:r w:rsidRPr="00A41B52">
        <w:rPr>
          <w:noProof/>
          <w:sz w:val="16"/>
          <w:szCs w:val="16"/>
        </w:rPr>
        <w:t xml:space="preserve">Figure </w:t>
      </w:r>
      <w:r>
        <w:rPr>
          <w:noProof/>
          <w:sz w:val="16"/>
          <w:szCs w:val="16"/>
        </w:rPr>
        <w:t>6</w:t>
      </w:r>
      <w:r w:rsidRPr="00A41B52">
        <w:rPr>
          <w:noProof/>
          <w:sz w:val="16"/>
          <w:szCs w:val="16"/>
        </w:rPr>
        <w:t>: Cumulative cash flow</w:t>
      </w:r>
    </w:p>
    <w:p w:rsidR="000B5B44" w:rsidRPr="00CD758A" w:rsidRDefault="000B5B44" w:rsidP="00CD758A">
      <w:pPr>
        <w:jc w:val="both"/>
        <w:rPr>
          <w:rFonts w:eastAsia="Times New Roman"/>
        </w:rPr>
      </w:pPr>
      <w:r w:rsidRPr="00CD758A">
        <w:rPr>
          <w:rFonts w:eastAsia="Times New Roman"/>
        </w:rPr>
        <w:t>The proposed collective SWH contributes about 61% from the total thermal energy demand of the hospital. This fraction can be increased if further solar collectors are installed.</w:t>
      </w:r>
    </w:p>
    <w:p w:rsidR="00CD758A" w:rsidRDefault="000B5B44" w:rsidP="00CD758A">
      <w:pPr>
        <w:jc w:val="both"/>
        <w:rPr>
          <w:rFonts w:eastAsia="Times New Roman"/>
        </w:rPr>
      </w:pPr>
      <w:r w:rsidRPr="00CD758A">
        <w:rPr>
          <w:rFonts w:eastAsia="Times New Roman"/>
        </w:rPr>
        <w:t>Collective SWH systems have a good potential to reduce gas emissions which are considered an important factor to evaluate the performance of any energy system. The results show that by using solar energy, considerable amounts of greenhouse polluting gasses are saved.</w:t>
      </w:r>
    </w:p>
    <w:p w:rsidR="00CD758A" w:rsidRDefault="00CD758A" w:rsidP="00CD758A">
      <w:pPr>
        <w:jc w:val="both"/>
        <w:rPr>
          <w:rFonts w:eastAsia="Times New Roman"/>
        </w:rPr>
      </w:pPr>
    </w:p>
    <w:p w:rsidR="000B5B44" w:rsidRPr="00CD758A" w:rsidRDefault="000B5B44" w:rsidP="00CD758A">
      <w:pPr>
        <w:jc w:val="both"/>
        <w:rPr>
          <w:rFonts w:eastAsia="Times New Roman"/>
        </w:rPr>
      </w:pPr>
      <w:r w:rsidRPr="00CD758A">
        <w:rPr>
          <w:rFonts w:eastAsia="Times New Roman"/>
        </w:rPr>
        <w:t xml:space="preserve">The investigated system </w:t>
      </w:r>
      <w:r w:rsidR="00CD758A" w:rsidRPr="00CD758A">
        <w:rPr>
          <w:rFonts w:eastAsia="Times New Roman"/>
        </w:rPr>
        <w:t>gives</w:t>
      </w:r>
      <w:r w:rsidRPr="00CD758A">
        <w:rPr>
          <w:rFonts w:eastAsia="Times New Roman"/>
        </w:rPr>
        <w:t xml:space="preserve"> positive and very promising performance and financial characteristics. Therefore, utilizing the collective solar heating are efficient, cost effective and friendlier to the environment.</w:t>
      </w:r>
    </w:p>
    <w:p w:rsidR="00CD758A" w:rsidRDefault="00CD758A" w:rsidP="00CD758A">
      <w:pPr>
        <w:jc w:val="both"/>
      </w:pPr>
    </w:p>
    <w:p w:rsidR="000B5B44" w:rsidRPr="00CD758A" w:rsidRDefault="000B5B44" w:rsidP="00CD758A">
      <w:pPr>
        <w:jc w:val="both"/>
        <w:rPr>
          <w:rFonts w:eastAsia="Times New Roman"/>
        </w:rPr>
      </w:pPr>
      <w:r w:rsidRPr="00CD758A">
        <w:t>Collective SWH systems technology usage is very limited in service sector in Palestinian due to the lack of awareness within consumers about the significant profit that could be gained in energy saving and gas emissions reduction.</w:t>
      </w:r>
    </w:p>
    <w:p w:rsidR="000B5B44" w:rsidRDefault="000B5B44" w:rsidP="000B5B44"/>
    <w:p w:rsidR="008C16D9" w:rsidRDefault="008C16D9" w:rsidP="000B5B44"/>
    <w:p w:rsidR="008C16D9" w:rsidRDefault="008C16D9" w:rsidP="000B5B44"/>
    <w:p w:rsidR="008C16D9" w:rsidRDefault="008C16D9" w:rsidP="000B5B44"/>
    <w:p w:rsidR="008C16D9" w:rsidRPr="0089760F" w:rsidRDefault="008C16D9" w:rsidP="000B5B44">
      <w:pPr>
        <w:sectPr w:rsidR="008C16D9" w:rsidRPr="0089760F" w:rsidSect="00804AD8">
          <w:type w:val="continuous"/>
          <w:pgSz w:w="12240" w:h="15840"/>
          <w:pgMar w:top="1440" w:right="1440" w:bottom="1440" w:left="1440" w:header="720" w:footer="720" w:gutter="0"/>
          <w:cols w:num="2" w:space="720"/>
          <w:docGrid w:linePitch="360"/>
        </w:sectPr>
      </w:pPr>
    </w:p>
    <w:p w:rsidR="000B5B44" w:rsidRPr="0003256B" w:rsidRDefault="000B5B44" w:rsidP="000B5B44">
      <w:pPr>
        <w:pStyle w:val="Heading1"/>
      </w:pPr>
      <w:r w:rsidRPr="0003256B">
        <w:t xml:space="preserve"> References  </w:t>
      </w:r>
    </w:p>
    <w:p w:rsidR="000B5B44" w:rsidRDefault="000B5B44" w:rsidP="000B5B44">
      <w:pPr>
        <w:pStyle w:val="References0"/>
        <w:numPr>
          <w:ilvl w:val="0"/>
          <w:numId w:val="17"/>
        </w:numPr>
        <w:tabs>
          <w:tab w:val="right" w:pos="0"/>
        </w:tabs>
        <w:spacing w:after="0"/>
        <w:rPr>
          <w:sz w:val="20"/>
          <w:lang w:val="en-US" w:eastAsia="en-US"/>
        </w:rPr>
      </w:pPr>
      <w:r w:rsidRPr="00804AD8">
        <w:rPr>
          <w:sz w:val="20"/>
          <w:lang w:val="en-US" w:eastAsia="en-US"/>
        </w:rPr>
        <w:t>PCBS, Palestinian Central Bureau of Statistics, 2010.</w:t>
      </w:r>
      <w:r w:rsidRPr="008433DF">
        <w:rPr>
          <w:sz w:val="20"/>
          <w:lang w:val="en-US" w:eastAsia="en-US"/>
        </w:rPr>
        <w:t xml:space="preserve"> </w:t>
      </w:r>
    </w:p>
    <w:p w:rsidR="000B5B44" w:rsidRDefault="000B5B44" w:rsidP="000B5B44">
      <w:pPr>
        <w:pStyle w:val="References0"/>
        <w:numPr>
          <w:ilvl w:val="0"/>
          <w:numId w:val="17"/>
        </w:numPr>
        <w:tabs>
          <w:tab w:val="right" w:pos="0"/>
        </w:tabs>
        <w:spacing w:after="0"/>
        <w:rPr>
          <w:sz w:val="20"/>
          <w:lang w:val="en-US" w:eastAsia="en-US"/>
        </w:rPr>
      </w:pPr>
      <w:r w:rsidRPr="00804AD8">
        <w:rPr>
          <w:sz w:val="20"/>
          <w:lang w:val="en-US" w:eastAsia="en-US"/>
        </w:rPr>
        <w:t xml:space="preserve">PEC, Palestinian Energy Center,2007. SOLATERM project, Palestine country report. </w:t>
      </w:r>
    </w:p>
    <w:p w:rsidR="000B5B44" w:rsidRPr="000F77FC" w:rsidRDefault="000B5B44" w:rsidP="000B5B44">
      <w:pPr>
        <w:pStyle w:val="References0"/>
        <w:numPr>
          <w:ilvl w:val="0"/>
          <w:numId w:val="17"/>
        </w:numPr>
        <w:tabs>
          <w:tab w:val="right" w:pos="0"/>
        </w:tabs>
        <w:spacing w:after="0"/>
        <w:rPr>
          <w:sz w:val="20"/>
          <w:lang w:val="en-US" w:eastAsia="en-US"/>
        </w:rPr>
      </w:pPr>
      <w:r w:rsidRPr="000F77FC">
        <w:rPr>
          <w:sz w:val="20"/>
          <w:lang w:val="en-US" w:eastAsia="en-US"/>
        </w:rPr>
        <w:t>PEA, Palestinian Energy Authority (2010), Energy sector strategy 2011 -2013.</w:t>
      </w:r>
    </w:p>
    <w:p w:rsidR="000B5B44" w:rsidRDefault="000B5B44" w:rsidP="000B5B44">
      <w:pPr>
        <w:pStyle w:val="ListParagraph"/>
        <w:numPr>
          <w:ilvl w:val="0"/>
          <w:numId w:val="17"/>
        </w:numPr>
        <w:tabs>
          <w:tab w:val="right" w:pos="0"/>
        </w:tabs>
        <w:autoSpaceDE w:val="0"/>
        <w:autoSpaceDN w:val="0"/>
        <w:adjustRightInd w:val="0"/>
        <w:jc w:val="both"/>
        <w:rPr>
          <w:rFonts w:ascii="Times New Roman" w:eastAsia="Times New Roman" w:hAnsi="Times New Roman" w:cs="Times New Roman"/>
          <w:sz w:val="20"/>
          <w:szCs w:val="20"/>
        </w:rPr>
      </w:pPr>
      <w:proofErr w:type="spellStart"/>
      <w:r w:rsidRPr="000F77FC">
        <w:rPr>
          <w:rFonts w:ascii="Times New Roman" w:eastAsia="Times New Roman" w:hAnsi="Times New Roman" w:cs="Times New Roman"/>
          <w:sz w:val="20"/>
          <w:szCs w:val="20"/>
        </w:rPr>
        <w:t>Taborianski</w:t>
      </w:r>
      <w:proofErr w:type="spellEnd"/>
      <w:r w:rsidRPr="000F77FC">
        <w:rPr>
          <w:rFonts w:ascii="Times New Roman" w:eastAsia="Times New Roman" w:hAnsi="Times New Roman" w:cs="Times New Roman"/>
          <w:sz w:val="20"/>
          <w:szCs w:val="20"/>
        </w:rPr>
        <w:t xml:space="preserve"> V.M. and Prado R.T.A., (2004), Comparative evaluation of the contribution of residential water heating systems to the variation of greenhouse gases stock in the atmosphere, Building and Environment 39 (6) (2004), pp. 645–652. </w:t>
      </w:r>
    </w:p>
    <w:p w:rsidR="000B5B44" w:rsidRPr="000A76AE" w:rsidRDefault="000B5B44" w:rsidP="000B5B44">
      <w:pPr>
        <w:pStyle w:val="ListParagraph"/>
        <w:numPr>
          <w:ilvl w:val="0"/>
          <w:numId w:val="17"/>
        </w:numPr>
        <w:tabs>
          <w:tab w:val="right" w:pos="0"/>
        </w:tabs>
        <w:autoSpaceDE w:val="0"/>
        <w:autoSpaceDN w:val="0"/>
        <w:adjustRightInd w:val="0"/>
        <w:jc w:val="both"/>
        <w:rPr>
          <w:rFonts w:ascii="Times New Roman" w:eastAsia="Times New Roman" w:hAnsi="Times New Roman" w:cs="Times New Roman"/>
          <w:sz w:val="20"/>
          <w:szCs w:val="20"/>
        </w:rPr>
      </w:pPr>
      <w:proofErr w:type="spellStart"/>
      <w:r w:rsidRPr="00315EBE">
        <w:rPr>
          <w:rFonts w:asciiTheme="majorBidi" w:eastAsia="Times New Roman" w:hAnsiTheme="majorBidi" w:cstheme="majorBidi"/>
          <w:sz w:val="20"/>
          <w:szCs w:val="20"/>
        </w:rPr>
        <w:t>RETScreen</w:t>
      </w:r>
      <w:proofErr w:type="spellEnd"/>
      <w:r w:rsidRPr="00315EBE">
        <w:rPr>
          <w:rFonts w:asciiTheme="majorBidi" w:eastAsia="Times New Roman" w:hAnsiTheme="majorBidi" w:cstheme="majorBidi"/>
          <w:sz w:val="20"/>
          <w:szCs w:val="20"/>
        </w:rPr>
        <w:t xml:space="preserve">® software online manual (2005), solar water heating project model. </w:t>
      </w:r>
      <w:proofErr w:type="spellStart"/>
      <w:r w:rsidRPr="00315EBE">
        <w:rPr>
          <w:rFonts w:asciiTheme="majorBidi" w:eastAsia="Times New Roman" w:hAnsiTheme="majorBidi" w:cstheme="majorBidi"/>
          <w:sz w:val="20"/>
          <w:szCs w:val="20"/>
        </w:rPr>
        <w:t>RETScreen</w:t>
      </w:r>
      <w:proofErr w:type="spellEnd"/>
      <w:r w:rsidRPr="00315EBE">
        <w:rPr>
          <w:rFonts w:asciiTheme="majorBidi" w:eastAsia="Times New Roman" w:hAnsiTheme="majorBidi" w:cstheme="majorBidi"/>
          <w:sz w:val="20"/>
          <w:szCs w:val="20"/>
        </w:rPr>
        <w:t xml:space="preserve"> International Clean Energy Decision Support Centre; </w:t>
      </w:r>
      <w:hyperlink r:id="rId11" w:history="1">
        <w:r w:rsidRPr="00315EBE">
          <w:rPr>
            <w:rFonts w:asciiTheme="majorBidi" w:eastAsia="Times New Roman" w:hAnsiTheme="majorBidi" w:cstheme="majorBidi"/>
            <w:sz w:val="20"/>
            <w:szCs w:val="20"/>
          </w:rPr>
          <w:t>www.retscreen.net</w:t>
        </w:r>
      </w:hyperlink>
    </w:p>
    <w:p w:rsidR="000B5B44" w:rsidRPr="000A76AE" w:rsidRDefault="000B5B44" w:rsidP="000B5B44">
      <w:pPr>
        <w:pStyle w:val="ListParagraph"/>
        <w:numPr>
          <w:ilvl w:val="0"/>
          <w:numId w:val="17"/>
        </w:numPr>
        <w:tabs>
          <w:tab w:val="right" w:pos="0"/>
        </w:tabs>
        <w:autoSpaceDE w:val="0"/>
        <w:autoSpaceDN w:val="0"/>
        <w:adjustRightInd w:val="0"/>
        <w:jc w:val="both"/>
        <w:rPr>
          <w:rFonts w:ascii="Times New Roman" w:eastAsia="Times New Roman" w:hAnsi="Times New Roman" w:cs="Times New Roman"/>
          <w:sz w:val="20"/>
          <w:szCs w:val="20"/>
        </w:rPr>
      </w:pPr>
      <w:r w:rsidRPr="000A76AE">
        <w:rPr>
          <w:rFonts w:asciiTheme="majorBidi" w:eastAsia="Times New Roman" w:hAnsiTheme="majorBidi" w:cstheme="majorBidi"/>
          <w:sz w:val="20"/>
          <w:szCs w:val="20"/>
        </w:rPr>
        <w:t>Atlas of solar resources of the Palestinian territories (2014), Report No. 126-01/2014 Palestinian Energy Authority.</w:t>
      </w:r>
    </w:p>
    <w:p w:rsidR="000B5B44" w:rsidRPr="00804AD8" w:rsidRDefault="000B5B44" w:rsidP="000B5B44">
      <w:pPr>
        <w:pStyle w:val="ListParagraph"/>
        <w:numPr>
          <w:ilvl w:val="0"/>
          <w:numId w:val="17"/>
        </w:numPr>
        <w:tabs>
          <w:tab w:val="right" w:pos="0"/>
        </w:tabs>
        <w:autoSpaceDE w:val="0"/>
        <w:autoSpaceDN w:val="0"/>
        <w:adjustRightInd w:val="0"/>
        <w:spacing w:after="0" w:line="240" w:lineRule="auto"/>
        <w:jc w:val="both"/>
        <w:rPr>
          <w:rFonts w:ascii="Times New Roman" w:eastAsia="Times New Roman" w:hAnsi="Times New Roman" w:cs="Times New Roman"/>
          <w:sz w:val="20"/>
          <w:szCs w:val="20"/>
        </w:rPr>
      </w:pPr>
      <w:r w:rsidRPr="00804AD8">
        <w:rPr>
          <w:rFonts w:ascii="Times New Roman" w:eastAsia="Times New Roman" w:hAnsi="Times New Roman" w:cs="Times New Roman"/>
          <w:sz w:val="20"/>
          <w:szCs w:val="20"/>
        </w:rPr>
        <w:t xml:space="preserve">A NASA satellite-derived global meteorology and surface solar energy climatology website for </w:t>
      </w:r>
      <w:proofErr w:type="spellStart"/>
      <w:r w:rsidRPr="00804AD8">
        <w:rPr>
          <w:rFonts w:ascii="Times New Roman" w:eastAsia="Times New Roman" w:hAnsi="Times New Roman" w:cs="Times New Roman"/>
          <w:sz w:val="20"/>
          <w:szCs w:val="20"/>
        </w:rPr>
        <w:t>RETScreen</w:t>
      </w:r>
      <w:proofErr w:type="spellEnd"/>
      <w:r w:rsidRPr="00804AD8">
        <w:rPr>
          <w:rFonts w:ascii="Times New Roman" w:eastAsia="Times New Roman" w:hAnsi="Times New Roman" w:cs="Times New Roman"/>
          <w:sz w:val="20"/>
          <w:szCs w:val="20"/>
        </w:rPr>
        <w:t xml:space="preserve"> parameter inputs.</w:t>
      </w:r>
      <w:r>
        <w:rPr>
          <w:rFonts w:ascii="Times New Roman" w:eastAsia="Times New Roman" w:hAnsi="Times New Roman" w:cs="Times New Roman"/>
          <w:sz w:val="20"/>
          <w:szCs w:val="20"/>
        </w:rPr>
        <w:t xml:space="preserve"> </w:t>
      </w:r>
      <w:hyperlink r:id="rId12" w:history="1">
        <w:r w:rsidRPr="00804AD8">
          <w:rPr>
            <w:rFonts w:ascii="Times New Roman" w:eastAsia="Times New Roman" w:hAnsi="Times New Roman" w:cs="Times New Roman"/>
            <w:sz w:val="20"/>
            <w:szCs w:val="20"/>
          </w:rPr>
          <w:t>https://eosweb.larc.nasa.gov/sse/RETScreen/</w:t>
        </w:r>
      </w:hyperlink>
    </w:p>
    <w:p w:rsidR="00CE092E" w:rsidRPr="008808E0" w:rsidRDefault="000B5B44" w:rsidP="008808E0">
      <w:pPr>
        <w:pStyle w:val="ListParagraph"/>
        <w:numPr>
          <w:ilvl w:val="0"/>
          <w:numId w:val="17"/>
        </w:numPr>
        <w:tabs>
          <w:tab w:val="right" w:pos="0"/>
        </w:tabs>
        <w:autoSpaceDE w:val="0"/>
        <w:autoSpaceDN w:val="0"/>
        <w:adjustRightInd w:val="0"/>
        <w:spacing w:after="0" w:line="240" w:lineRule="auto"/>
        <w:jc w:val="both"/>
        <w:rPr>
          <w:rFonts w:ascii="Times New Roman" w:eastAsia="Times New Roman" w:hAnsi="Times New Roman" w:cs="Times New Roman"/>
          <w:sz w:val="20"/>
          <w:szCs w:val="20"/>
        </w:rPr>
      </w:pPr>
      <w:proofErr w:type="spellStart"/>
      <w:r w:rsidRPr="00804AD8">
        <w:rPr>
          <w:rFonts w:ascii="Times New Roman" w:eastAsia="Times New Roman" w:hAnsi="Times New Roman" w:cs="Times New Roman"/>
          <w:sz w:val="20"/>
          <w:szCs w:val="20"/>
        </w:rPr>
        <w:t>RETScreen</w:t>
      </w:r>
      <w:proofErr w:type="spellEnd"/>
      <w:r w:rsidRPr="00804AD8">
        <w:rPr>
          <w:rFonts w:ascii="Times New Roman" w:eastAsia="Times New Roman" w:hAnsi="Times New Roman" w:cs="Times New Roman"/>
          <w:sz w:val="20"/>
          <w:szCs w:val="20"/>
        </w:rPr>
        <w:t xml:space="preserve">® international software Product Database. </w:t>
      </w:r>
      <w:proofErr w:type="spellStart"/>
      <w:r w:rsidRPr="00804AD8">
        <w:rPr>
          <w:rFonts w:ascii="Times New Roman" w:eastAsia="Times New Roman" w:hAnsi="Times New Roman" w:cs="Times New Roman"/>
          <w:sz w:val="20"/>
          <w:szCs w:val="20"/>
        </w:rPr>
        <w:t>RETScreen</w:t>
      </w:r>
      <w:proofErr w:type="spellEnd"/>
      <w:r w:rsidRPr="00804AD8">
        <w:rPr>
          <w:rFonts w:ascii="Times New Roman" w:eastAsia="Times New Roman" w:hAnsi="Times New Roman" w:cs="Times New Roman"/>
          <w:sz w:val="20"/>
          <w:szCs w:val="20"/>
        </w:rPr>
        <w:t xml:space="preserve"> International Clean Energy Decision Support Centre;</w:t>
      </w:r>
      <w:r>
        <w:rPr>
          <w:rFonts w:ascii="Times New Roman" w:eastAsia="Times New Roman" w:hAnsi="Times New Roman" w:cs="Times New Roman"/>
          <w:sz w:val="20"/>
          <w:szCs w:val="20"/>
        </w:rPr>
        <w:t xml:space="preserve"> </w:t>
      </w:r>
      <w:r w:rsidRPr="00B13024">
        <w:rPr>
          <w:rFonts w:ascii="Times New Roman" w:eastAsia="Times New Roman" w:hAnsi="Times New Roman" w:cs="Times New Roman"/>
          <w:sz w:val="20"/>
          <w:szCs w:val="20"/>
        </w:rPr>
        <w:t>2015. www.retscreen.net.</w:t>
      </w:r>
    </w:p>
    <w:p w:rsidR="00CE092E" w:rsidRDefault="00CE092E" w:rsidP="005A6018">
      <w:pPr>
        <w:jc w:val="both"/>
        <w:rPr>
          <w:spacing w:val="-1"/>
          <w:lang w:val="en-GB"/>
        </w:rPr>
      </w:pPr>
    </w:p>
    <w:p w:rsidR="00CE092E" w:rsidRDefault="00CE092E" w:rsidP="005A6018">
      <w:pPr>
        <w:jc w:val="both"/>
        <w:rPr>
          <w:spacing w:val="-1"/>
          <w:lang w:val="en-GB"/>
        </w:rPr>
      </w:pPr>
    </w:p>
    <w:p w:rsidR="00CE092E" w:rsidRDefault="00CE092E" w:rsidP="005A6018">
      <w:pPr>
        <w:jc w:val="both"/>
        <w:rPr>
          <w:spacing w:val="-1"/>
          <w:lang w:val="en-GB"/>
        </w:rPr>
      </w:pPr>
    </w:p>
    <w:p w:rsidR="00CE092E" w:rsidRDefault="00CE092E" w:rsidP="005A6018">
      <w:pPr>
        <w:jc w:val="both"/>
        <w:rPr>
          <w:spacing w:val="-1"/>
          <w:lang w:val="en-GB"/>
        </w:rPr>
      </w:pPr>
    </w:p>
    <w:p w:rsidR="00CE092E" w:rsidRDefault="00CE092E" w:rsidP="005A6018">
      <w:pPr>
        <w:jc w:val="both"/>
        <w:rPr>
          <w:spacing w:val="-1"/>
          <w:lang w:val="en-GB"/>
        </w:rPr>
      </w:pPr>
    </w:p>
    <w:p w:rsidR="00CE092E" w:rsidRPr="00CE092E" w:rsidRDefault="00CE092E" w:rsidP="005A6018">
      <w:pPr>
        <w:jc w:val="both"/>
        <w:rPr>
          <w:spacing w:val="-1"/>
          <w:lang w:val="en-GB"/>
        </w:rPr>
      </w:pPr>
    </w:p>
    <w:sectPr w:rsidR="00CE092E" w:rsidRPr="00CE092E" w:rsidSect="008766D4">
      <w:type w:val="continuous"/>
      <w:pgSz w:w="12240" w:h="15840" w:code="1"/>
      <w:pgMar w:top="1080" w:right="893" w:bottom="1440" w:left="893" w:header="720" w:footer="720" w:gutter="0"/>
      <w:cols w:num="2" w:space="36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E8C"/>
    <w:multiLevelType w:val="hybridMultilevel"/>
    <w:tmpl w:val="6808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E6064"/>
    <w:multiLevelType w:val="hybridMultilevel"/>
    <w:tmpl w:val="619C213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CC24D0C"/>
    <w:multiLevelType w:val="hybridMultilevel"/>
    <w:tmpl w:val="2CA05948"/>
    <w:lvl w:ilvl="0" w:tplc="B604421E">
      <w:start w:val="1"/>
      <w:numFmt w:val="bullet"/>
      <w:pStyle w:val="CorpsEnumration"/>
      <w:lvlText w:val=""/>
      <w:lvlJc w:val="left"/>
      <w:pPr>
        <w:tabs>
          <w:tab w:val="num" w:pos="2140"/>
        </w:tabs>
        <w:ind w:left="2140" w:hanging="360"/>
      </w:pPr>
      <w:rPr>
        <w:rFonts w:ascii="Symbol" w:hAnsi="Symbol" w:hint="default"/>
      </w:rPr>
    </w:lvl>
    <w:lvl w:ilvl="1" w:tplc="040C0003" w:tentative="1">
      <w:start w:val="1"/>
      <w:numFmt w:val="bullet"/>
      <w:lvlText w:val="o"/>
      <w:lvlJc w:val="left"/>
      <w:pPr>
        <w:tabs>
          <w:tab w:val="num" w:pos="2860"/>
        </w:tabs>
        <w:ind w:left="2860" w:hanging="360"/>
      </w:pPr>
      <w:rPr>
        <w:rFonts w:ascii="Courier New" w:hAnsi="Courier New" w:hint="default"/>
      </w:rPr>
    </w:lvl>
    <w:lvl w:ilvl="2" w:tplc="040C0005" w:tentative="1">
      <w:start w:val="1"/>
      <w:numFmt w:val="bullet"/>
      <w:lvlText w:val=""/>
      <w:lvlJc w:val="left"/>
      <w:pPr>
        <w:tabs>
          <w:tab w:val="num" w:pos="3580"/>
        </w:tabs>
        <w:ind w:left="3580" w:hanging="360"/>
      </w:pPr>
      <w:rPr>
        <w:rFonts w:ascii="Wingdings" w:hAnsi="Wingdings" w:hint="default"/>
      </w:rPr>
    </w:lvl>
    <w:lvl w:ilvl="3" w:tplc="040C0001" w:tentative="1">
      <w:start w:val="1"/>
      <w:numFmt w:val="bullet"/>
      <w:lvlText w:val=""/>
      <w:lvlJc w:val="left"/>
      <w:pPr>
        <w:tabs>
          <w:tab w:val="num" w:pos="4300"/>
        </w:tabs>
        <w:ind w:left="4300" w:hanging="360"/>
      </w:pPr>
      <w:rPr>
        <w:rFonts w:ascii="Symbol" w:hAnsi="Symbol" w:hint="default"/>
      </w:rPr>
    </w:lvl>
    <w:lvl w:ilvl="4" w:tplc="040C0003" w:tentative="1">
      <w:start w:val="1"/>
      <w:numFmt w:val="bullet"/>
      <w:lvlText w:val="o"/>
      <w:lvlJc w:val="left"/>
      <w:pPr>
        <w:tabs>
          <w:tab w:val="num" w:pos="5020"/>
        </w:tabs>
        <w:ind w:left="5020" w:hanging="360"/>
      </w:pPr>
      <w:rPr>
        <w:rFonts w:ascii="Courier New" w:hAnsi="Courier New" w:hint="default"/>
      </w:rPr>
    </w:lvl>
    <w:lvl w:ilvl="5" w:tplc="040C0005" w:tentative="1">
      <w:start w:val="1"/>
      <w:numFmt w:val="bullet"/>
      <w:lvlText w:val=""/>
      <w:lvlJc w:val="left"/>
      <w:pPr>
        <w:tabs>
          <w:tab w:val="num" w:pos="5740"/>
        </w:tabs>
        <w:ind w:left="5740" w:hanging="360"/>
      </w:pPr>
      <w:rPr>
        <w:rFonts w:ascii="Wingdings" w:hAnsi="Wingdings" w:hint="default"/>
      </w:rPr>
    </w:lvl>
    <w:lvl w:ilvl="6" w:tplc="040C0001" w:tentative="1">
      <w:start w:val="1"/>
      <w:numFmt w:val="bullet"/>
      <w:lvlText w:val=""/>
      <w:lvlJc w:val="left"/>
      <w:pPr>
        <w:tabs>
          <w:tab w:val="num" w:pos="6460"/>
        </w:tabs>
        <w:ind w:left="6460" w:hanging="360"/>
      </w:pPr>
      <w:rPr>
        <w:rFonts w:ascii="Symbol" w:hAnsi="Symbol" w:hint="default"/>
      </w:rPr>
    </w:lvl>
    <w:lvl w:ilvl="7" w:tplc="040C0003" w:tentative="1">
      <w:start w:val="1"/>
      <w:numFmt w:val="bullet"/>
      <w:lvlText w:val="o"/>
      <w:lvlJc w:val="left"/>
      <w:pPr>
        <w:tabs>
          <w:tab w:val="num" w:pos="7180"/>
        </w:tabs>
        <w:ind w:left="7180" w:hanging="360"/>
      </w:pPr>
      <w:rPr>
        <w:rFonts w:ascii="Courier New" w:hAnsi="Courier New" w:hint="default"/>
      </w:rPr>
    </w:lvl>
    <w:lvl w:ilvl="8" w:tplc="040C0005" w:tentative="1">
      <w:start w:val="1"/>
      <w:numFmt w:val="bullet"/>
      <w:lvlText w:val=""/>
      <w:lvlJc w:val="left"/>
      <w:pPr>
        <w:tabs>
          <w:tab w:val="num" w:pos="7900"/>
        </w:tabs>
        <w:ind w:left="7900" w:hanging="360"/>
      </w:pPr>
      <w:rPr>
        <w:rFonts w:ascii="Wingdings" w:hAnsi="Wingdings" w:hint="default"/>
      </w:r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447636B7"/>
    <w:multiLevelType w:val="hybridMultilevel"/>
    <w:tmpl w:val="5192B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15:restartNumberingAfterBreak="0">
    <w:nsid w:val="52EC5F5D"/>
    <w:multiLevelType w:val="hybridMultilevel"/>
    <w:tmpl w:val="6A02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7C14"/>
    <w:multiLevelType w:val="hybridMultilevel"/>
    <w:tmpl w:val="118C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817DE9"/>
    <w:multiLevelType w:val="hybridMultilevel"/>
    <w:tmpl w:val="4F804CA2"/>
    <w:lvl w:ilvl="0" w:tplc="E452AC52">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E6258E"/>
    <w:multiLevelType w:val="multilevel"/>
    <w:tmpl w:val="00000002"/>
    <w:lvl w:ilvl="0">
      <w:start w:val="1"/>
      <w:numFmt w:val="decimal"/>
      <w:lvlText w:val="[%1]"/>
      <w:lvlJc w:val="center"/>
      <w:pPr>
        <w:tabs>
          <w:tab w:val="num" w:pos="-353"/>
        </w:tabs>
        <w:ind w:left="644"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5"/>
  </w:num>
  <w:num w:numId="2">
    <w:abstractNumId w:val="14"/>
  </w:num>
  <w:num w:numId="3">
    <w:abstractNumId w:val="3"/>
  </w:num>
  <w:num w:numId="4">
    <w:abstractNumId w:val="7"/>
  </w:num>
  <w:num w:numId="5">
    <w:abstractNumId w:val="7"/>
  </w:num>
  <w:num w:numId="6">
    <w:abstractNumId w:val="7"/>
  </w:num>
  <w:num w:numId="7">
    <w:abstractNumId w:val="7"/>
  </w:num>
  <w:num w:numId="8">
    <w:abstractNumId w:val="9"/>
  </w:num>
  <w:num w:numId="9">
    <w:abstractNumId w:val="15"/>
  </w:num>
  <w:num w:numId="10">
    <w:abstractNumId w:val="6"/>
  </w:num>
  <w:num w:numId="11">
    <w:abstractNumId w:val="2"/>
  </w:num>
  <w:num w:numId="12">
    <w:abstractNumId w:val="0"/>
  </w:num>
  <w:num w:numId="13">
    <w:abstractNumId w:val="1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1"/>
  </w:num>
  <w:num w:numId="20">
    <w:abstractNumId w:val="12"/>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5"/>
    </w:lvlOverride>
  </w:num>
  <w:num w:numId="27">
    <w:abstractNumId w:val="7"/>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7314"/>
    <w:rsid w:val="00026418"/>
    <w:rsid w:val="0003256B"/>
    <w:rsid w:val="0003668D"/>
    <w:rsid w:val="00047865"/>
    <w:rsid w:val="00054D89"/>
    <w:rsid w:val="00057CD3"/>
    <w:rsid w:val="0007140B"/>
    <w:rsid w:val="000732D7"/>
    <w:rsid w:val="000803A5"/>
    <w:rsid w:val="000A2510"/>
    <w:rsid w:val="000A2A32"/>
    <w:rsid w:val="000A76AE"/>
    <w:rsid w:val="000B5B44"/>
    <w:rsid w:val="000E2689"/>
    <w:rsid w:val="000E5C7C"/>
    <w:rsid w:val="000F418E"/>
    <w:rsid w:val="000F6EF4"/>
    <w:rsid w:val="000F77FC"/>
    <w:rsid w:val="00104AD8"/>
    <w:rsid w:val="0010589E"/>
    <w:rsid w:val="0012539B"/>
    <w:rsid w:val="00150C5D"/>
    <w:rsid w:val="001630BF"/>
    <w:rsid w:val="00170EE3"/>
    <w:rsid w:val="00171C6A"/>
    <w:rsid w:val="00176861"/>
    <w:rsid w:val="00181A78"/>
    <w:rsid w:val="001969D2"/>
    <w:rsid w:val="001A03F1"/>
    <w:rsid w:val="001A42B8"/>
    <w:rsid w:val="001B6D3A"/>
    <w:rsid w:val="001C25EA"/>
    <w:rsid w:val="001C3C4A"/>
    <w:rsid w:val="001D26BB"/>
    <w:rsid w:val="001E0E2F"/>
    <w:rsid w:val="001F3AA9"/>
    <w:rsid w:val="001F58D0"/>
    <w:rsid w:val="00203292"/>
    <w:rsid w:val="0020598B"/>
    <w:rsid w:val="00205A9A"/>
    <w:rsid w:val="002254A9"/>
    <w:rsid w:val="00227A93"/>
    <w:rsid w:val="00232CAD"/>
    <w:rsid w:val="002421A3"/>
    <w:rsid w:val="00252E78"/>
    <w:rsid w:val="002573F3"/>
    <w:rsid w:val="00263479"/>
    <w:rsid w:val="002A013A"/>
    <w:rsid w:val="002A1D99"/>
    <w:rsid w:val="002A4957"/>
    <w:rsid w:val="002A7CEF"/>
    <w:rsid w:val="002B5B44"/>
    <w:rsid w:val="002E0645"/>
    <w:rsid w:val="002F6226"/>
    <w:rsid w:val="00307BF4"/>
    <w:rsid w:val="0031352B"/>
    <w:rsid w:val="00340BB2"/>
    <w:rsid w:val="003472AA"/>
    <w:rsid w:val="00361A91"/>
    <w:rsid w:val="00375448"/>
    <w:rsid w:val="00376A56"/>
    <w:rsid w:val="00377C5E"/>
    <w:rsid w:val="003B5043"/>
    <w:rsid w:val="003B6789"/>
    <w:rsid w:val="003D3A24"/>
    <w:rsid w:val="003E33E0"/>
    <w:rsid w:val="003E4328"/>
    <w:rsid w:val="00403B74"/>
    <w:rsid w:val="00423507"/>
    <w:rsid w:val="004338BB"/>
    <w:rsid w:val="00443A1E"/>
    <w:rsid w:val="0044706C"/>
    <w:rsid w:val="00465805"/>
    <w:rsid w:val="00474E25"/>
    <w:rsid w:val="0047587E"/>
    <w:rsid w:val="00476E65"/>
    <w:rsid w:val="00477A6D"/>
    <w:rsid w:val="004818C7"/>
    <w:rsid w:val="004926C1"/>
    <w:rsid w:val="004C5F29"/>
    <w:rsid w:val="004E10BA"/>
    <w:rsid w:val="004F081F"/>
    <w:rsid w:val="004F572F"/>
    <w:rsid w:val="005026E1"/>
    <w:rsid w:val="00503D6C"/>
    <w:rsid w:val="00513785"/>
    <w:rsid w:val="005206D0"/>
    <w:rsid w:val="00530A14"/>
    <w:rsid w:val="00542C3A"/>
    <w:rsid w:val="005464EF"/>
    <w:rsid w:val="0055089B"/>
    <w:rsid w:val="00552BDF"/>
    <w:rsid w:val="00553D30"/>
    <w:rsid w:val="00561F80"/>
    <w:rsid w:val="00567FC4"/>
    <w:rsid w:val="00576782"/>
    <w:rsid w:val="00580DA0"/>
    <w:rsid w:val="0059190D"/>
    <w:rsid w:val="00594245"/>
    <w:rsid w:val="005949EA"/>
    <w:rsid w:val="005A3111"/>
    <w:rsid w:val="005A3614"/>
    <w:rsid w:val="005A6018"/>
    <w:rsid w:val="005B171A"/>
    <w:rsid w:val="005B520E"/>
    <w:rsid w:val="005B641A"/>
    <w:rsid w:val="005B7657"/>
    <w:rsid w:val="005C362F"/>
    <w:rsid w:val="005E0714"/>
    <w:rsid w:val="00600720"/>
    <w:rsid w:val="00635B35"/>
    <w:rsid w:val="00637870"/>
    <w:rsid w:val="00656F31"/>
    <w:rsid w:val="006672A2"/>
    <w:rsid w:val="0068698F"/>
    <w:rsid w:val="0069573A"/>
    <w:rsid w:val="006A24B6"/>
    <w:rsid w:val="006C5B27"/>
    <w:rsid w:val="006E026B"/>
    <w:rsid w:val="00700F95"/>
    <w:rsid w:val="007166FF"/>
    <w:rsid w:val="00733475"/>
    <w:rsid w:val="00733FF8"/>
    <w:rsid w:val="007511D0"/>
    <w:rsid w:val="00755096"/>
    <w:rsid w:val="00755E3C"/>
    <w:rsid w:val="00765596"/>
    <w:rsid w:val="00780CEE"/>
    <w:rsid w:val="00790381"/>
    <w:rsid w:val="007B2372"/>
    <w:rsid w:val="007C2FF2"/>
    <w:rsid w:val="007F22A6"/>
    <w:rsid w:val="007F3AD3"/>
    <w:rsid w:val="007F7365"/>
    <w:rsid w:val="00804E38"/>
    <w:rsid w:val="00835C51"/>
    <w:rsid w:val="008433DF"/>
    <w:rsid w:val="00844E09"/>
    <w:rsid w:val="00850659"/>
    <w:rsid w:val="00856FFC"/>
    <w:rsid w:val="00866714"/>
    <w:rsid w:val="00873E99"/>
    <w:rsid w:val="008766D4"/>
    <w:rsid w:val="008808E0"/>
    <w:rsid w:val="00883033"/>
    <w:rsid w:val="00883115"/>
    <w:rsid w:val="00892CDD"/>
    <w:rsid w:val="0089760F"/>
    <w:rsid w:val="008B64BB"/>
    <w:rsid w:val="008B7B0D"/>
    <w:rsid w:val="008C16D9"/>
    <w:rsid w:val="008F4708"/>
    <w:rsid w:val="008F5CB2"/>
    <w:rsid w:val="00901B15"/>
    <w:rsid w:val="009265C3"/>
    <w:rsid w:val="009303D9"/>
    <w:rsid w:val="00957F64"/>
    <w:rsid w:val="00961D10"/>
    <w:rsid w:val="00965DEA"/>
    <w:rsid w:val="009A5C6E"/>
    <w:rsid w:val="009A7AE4"/>
    <w:rsid w:val="009C42DC"/>
    <w:rsid w:val="009C6AB2"/>
    <w:rsid w:val="009D0F61"/>
    <w:rsid w:val="009D183B"/>
    <w:rsid w:val="009E2993"/>
    <w:rsid w:val="00A0718F"/>
    <w:rsid w:val="00A11B8A"/>
    <w:rsid w:val="00A1418C"/>
    <w:rsid w:val="00A177E1"/>
    <w:rsid w:val="00A26DEA"/>
    <w:rsid w:val="00A41B52"/>
    <w:rsid w:val="00A44588"/>
    <w:rsid w:val="00A50DEE"/>
    <w:rsid w:val="00A52F97"/>
    <w:rsid w:val="00A53691"/>
    <w:rsid w:val="00A667F8"/>
    <w:rsid w:val="00A70326"/>
    <w:rsid w:val="00AB1165"/>
    <w:rsid w:val="00AC0669"/>
    <w:rsid w:val="00AD1810"/>
    <w:rsid w:val="00AD3929"/>
    <w:rsid w:val="00AD702D"/>
    <w:rsid w:val="00AE2107"/>
    <w:rsid w:val="00B06CA5"/>
    <w:rsid w:val="00B11A60"/>
    <w:rsid w:val="00B13024"/>
    <w:rsid w:val="00B17DD9"/>
    <w:rsid w:val="00B3412D"/>
    <w:rsid w:val="00B54BB0"/>
    <w:rsid w:val="00B62B08"/>
    <w:rsid w:val="00B7117F"/>
    <w:rsid w:val="00BB0544"/>
    <w:rsid w:val="00BC08B4"/>
    <w:rsid w:val="00BC4733"/>
    <w:rsid w:val="00BF0742"/>
    <w:rsid w:val="00BF27B7"/>
    <w:rsid w:val="00BF303B"/>
    <w:rsid w:val="00BF57B4"/>
    <w:rsid w:val="00C17B62"/>
    <w:rsid w:val="00C225F2"/>
    <w:rsid w:val="00C23BF2"/>
    <w:rsid w:val="00C23DD5"/>
    <w:rsid w:val="00C25DCE"/>
    <w:rsid w:val="00C34104"/>
    <w:rsid w:val="00C513B8"/>
    <w:rsid w:val="00C554E3"/>
    <w:rsid w:val="00C566D7"/>
    <w:rsid w:val="00C577F9"/>
    <w:rsid w:val="00C667B8"/>
    <w:rsid w:val="00C82AAA"/>
    <w:rsid w:val="00CA28A9"/>
    <w:rsid w:val="00CC52E7"/>
    <w:rsid w:val="00CC7E15"/>
    <w:rsid w:val="00CD758A"/>
    <w:rsid w:val="00CE092E"/>
    <w:rsid w:val="00D033D7"/>
    <w:rsid w:val="00D07787"/>
    <w:rsid w:val="00D1364E"/>
    <w:rsid w:val="00D159A5"/>
    <w:rsid w:val="00D517AE"/>
    <w:rsid w:val="00D52047"/>
    <w:rsid w:val="00D52DF7"/>
    <w:rsid w:val="00D5502B"/>
    <w:rsid w:val="00D607D5"/>
    <w:rsid w:val="00D64CCC"/>
    <w:rsid w:val="00D75976"/>
    <w:rsid w:val="00D92C53"/>
    <w:rsid w:val="00D9729E"/>
    <w:rsid w:val="00DB019B"/>
    <w:rsid w:val="00DC304F"/>
    <w:rsid w:val="00DC513F"/>
    <w:rsid w:val="00DC579F"/>
    <w:rsid w:val="00DC7CED"/>
    <w:rsid w:val="00DD329C"/>
    <w:rsid w:val="00DD5A73"/>
    <w:rsid w:val="00DD642B"/>
    <w:rsid w:val="00DD6FAC"/>
    <w:rsid w:val="00E00ED3"/>
    <w:rsid w:val="00E037EF"/>
    <w:rsid w:val="00E04B0A"/>
    <w:rsid w:val="00E14137"/>
    <w:rsid w:val="00E20399"/>
    <w:rsid w:val="00E232EE"/>
    <w:rsid w:val="00E338C7"/>
    <w:rsid w:val="00E34A5A"/>
    <w:rsid w:val="00E47892"/>
    <w:rsid w:val="00E549DA"/>
    <w:rsid w:val="00E57D84"/>
    <w:rsid w:val="00E704F5"/>
    <w:rsid w:val="00E70B45"/>
    <w:rsid w:val="00E819DA"/>
    <w:rsid w:val="00E87CBF"/>
    <w:rsid w:val="00EA5504"/>
    <w:rsid w:val="00EC4903"/>
    <w:rsid w:val="00EF29BE"/>
    <w:rsid w:val="00F10B90"/>
    <w:rsid w:val="00F251DA"/>
    <w:rsid w:val="00F3219F"/>
    <w:rsid w:val="00F37629"/>
    <w:rsid w:val="00F54CBB"/>
    <w:rsid w:val="00F73BB5"/>
    <w:rsid w:val="00F73EC6"/>
    <w:rsid w:val="00F77F59"/>
    <w:rsid w:val="00F86947"/>
    <w:rsid w:val="00FA6336"/>
    <w:rsid w:val="00FB32FE"/>
    <w:rsid w:val="00FB77D2"/>
    <w:rsid w:val="00FC2BA4"/>
    <w:rsid w:val="00FD0CE7"/>
    <w:rsid w:val="00FD1CE5"/>
    <w:rsid w:val="00FF5C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15004"/>
  <w15:docId w15:val="{4850CE28-85D2-4410-AF54-8DDD97CA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jc w:val="both"/>
      <w:outlineLvl w:val="2"/>
    </w:pPr>
    <w:rPr>
      <w:i/>
      <w:iCs/>
      <w:noProof/>
    </w:rPr>
  </w:style>
  <w:style w:type="paragraph" w:styleId="Heading4">
    <w:name w:val="heading 4"/>
    <w:basedOn w:val="Normal"/>
    <w:next w:val="Normal"/>
    <w:qFormat/>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after="120" w:line="228" w:lineRule="auto"/>
      <w:ind w:firstLine="288"/>
      <w:jc w:val="both"/>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BodyTextIndent2">
    <w:name w:val="Body Text Indent 2"/>
    <w:basedOn w:val="Normal"/>
    <w:link w:val="BodyTextIndent2Char"/>
    <w:rsid w:val="007F7365"/>
    <w:pPr>
      <w:spacing w:after="120" w:line="480" w:lineRule="auto"/>
      <w:ind w:left="360"/>
      <w:jc w:val="left"/>
    </w:pPr>
    <w:rPr>
      <w:rFonts w:eastAsia="Times New Roman"/>
      <w:lang w:val="en-GB" w:eastAsia="it-IT"/>
    </w:rPr>
  </w:style>
  <w:style w:type="character" w:customStyle="1" w:styleId="BodyTextIndent2Char">
    <w:name w:val="Body Text Indent 2 Char"/>
    <w:basedOn w:val="DefaultParagraphFont"/>
    <w:link w:val="BodyTextIndent2"/>
    <w:rsid w:val="007F7365"/>
    <w:rPr>
      <w:rFonts w:eastAsia="Times New Roman"/>
      <w:lang w:val="en-GB" w:eastAsia="it-IT"/>
    </w:rPr>
  </w:style>
  <w:style w:type="paragraph" w:customStyle="1" w:styleId="TextTR">
    <w:name w:val="Text TR"/>
    <w:basedOn w:val="Normal"/>
    <w:rsid w:val="002A1D99"/>
    <w:pPr>
      <w:spacing w:before="120" w:after="120"/>
      <w:jc w:val="both"/>
    </w:pPr>
    <w:rPr>
      <w:rFonts w:ascii="Arial" w:eastAsia="Times New Roman" w:hAnsi="Arial"/>
      <w:sz w:val="22"/>
      <w:lang w:val="en-GB" w:eastAsia="it-IT"/>
    </w:rPr>
  </w:style>
  <w:style w:type="table" w:styleId="TableGrid">
    <w:name w:val="Table Grid"/>
    <w:basedOn w:val="TableNormal"/>
    <w:uiPriority w:val="39"/>
    <w:rsid w:val="00E87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21A3"/>
    <w:pPr>
      <w:spacing w:before="100" w:beforeAutospacing="1" w:after="100" w:afterAutospacing="1"/>
      <w:jc w:val="left"/>
    </w:pPr>
    <w:rPr>
      <w:rFonts w:eastAsia="Times New Roman"/>
      <w:sz w:val="24"/>
      <w:szCs w:val="24"/>
    </w:rPr>
  </w:style>
  <w:style w:type="character" w:customStyle="1" w:styleId="BodyTextChar">
    <w:name w:val="Body Text Char"/>
    <w:basedOn w:val="DefaultParagraphFont"/>
    <w:link w:val="BodyText"/>
    <w:rsid w:val="005C362F"/>
    <w:rPr>
      <w:spacing w:val="-1"/>
    </w:rPr>
  </w:style>
  <w:style w:type="character" w:styleId="CommentReference">
    <w:name w:val="annotation reference"/>
    <w:basedOn w:val="DefaultParagraphFont"/>
    <w:semiHidden/>
    <w:unhideWhenUsed/>
    <w:rsid w:val="00D5502B"/>
    <w:rPr>
      <w:sz w:val="16"/>
      <w:szCs w:val="16"/>
    </w:rPr>
  </w:style>
  <w:style w:type="paragraph" w:styleId="CommentText">
    <w:name w:val="annotation text"/>
    <w:basedOn w:val="Normal"/>
    <w:link w:val="CommentTextChar"/>
    <w:semiHidden/>
    <w:unhideWhenUsed/>
    <w:rsid w:val="00D5502B"/>
  </w:style>
  <w:style w:type="character" w:customStyle="1" w:styleId="CommentTextChar">
    <w:name w:val="Comment Text Char"/>
    <w:basedOn w:val="DefaultParagraphFont"/>
    <w:link w:val="CommentText"/>
    <w:semiHidden/>
    <w:rsid w:val="00D5502B"/>
  </w:style>
  <w:style w:type="paragraph" w:styleId="CommentSubject">
    <w:name w:val="annotation subject"/>
    <w:basedOn w:val="CommentText"/>
    <w:next w:val="CommentText"/>
    <w:link w:val="CommentSubjectChar"/>
    <w:semiHidden/>
    <w:unhideWhenUsed/>
    <w:rsid w:val="00D5502B"/>
    <w:rPr>
      <w:b/>
      <w:bCs/>
    </w:rPr>
  </w:style>
  <w:style w:type="character" w:customStyle="1" w:styleId="CommentSubjectChar">
    <w:name w:val="Comment Subject Char"/>
    <w:basedOn w:val="CommentTextChar"/>
    <w:link w:val="CommentSubject"/>
    <w:semiHidden/>
    <w:rsid w:val="00D5502B"/>
    <w:rPr>
      <w:b/>
      <w:bCs/>
    </w:rPr>
  </w:style>
  <w:style w:type="paragraph" w:styleId="BalloonText">
    <w:name w:val="Balloon Text"/>
    <w:basedOn w:val="Normal"/>
    <w:link w:val="BalloonTextChar"/>
    <w:semiHidden/>
    <w:unhideWhenUsed/>
    <w:rsid w:val="00D5502B"/>
    <w:rPr>
      <w:rFonts w:ascii="Segoe UI" w:hAnsi="Segoe UI" w:cs="Segoe UI"/>
      <w:sz w:val="18"/>
      <w:szCs w:val="18"/>
    </w:rPr>
  </w:style>
  <w:style w:type="character" w:customStyle="1" w:styleId="BalloonTextChar">
    <w:name w:val="Balloon Text Char"/>
    <w:basedOn w:val="DefaultParagraphFont"/>
    <w:link w:val="BalloonText"/>
    <w:semiHidden/>
    <w:rsid w:val="00D5502B"/>
    <w:rPr>
      <w:rFonts w:ascii="Segoe UI" w:hAnsi="Segoe UI" w:cs="Segoe UI"/>
      <w:sz w:val="18"/>
      <w:szCs w:val="18"/>
    </w:rPr>
  </w:style>
  <w:style w:type="paragraph" w:styleId="BodyText2">
    <w:name w:val="Body Text 2"/>
    <w:basedOn w:val="Normal"/>
    <w:link w:val="BodyText2Char"/>
    <w:semiHidden/>
    <w:unhideWhenUsed/>
    <w:rsid w:val="00375448"/>
    <w:pPr>
      <w:spacing w:after="120" w:line="480" w:lineRule="auto"/>
    </w:pPr>
  </w:style>
  <w:style w:type="character" w:customStyle="1" w:styleId="BodyText2Char">
    <w:name w:val="Body Text 2 Char"/>
    <w:basedOn w:val="DefaultParagraphFont"/>
    <w:link w:val="BodyText2"/>
    <w:semiHidden/>
    <w:rsid w:val="00375448"/>
  </w:style>
  <w:style w:type="paragraph" w:customStyle="1" w:styleId="topictext">
    <w:name w:val="topictext"/>
    <w:basedOn w:val="Normal"/>
    <w:rsid w:val="008766D4"/>
    <w:pPr>
      <w:spacing w:before="100" w:beforeAutospacing="1" w:after="100" w:afterAutospacing="1"/>
      <w:jc w:val="left"/>
    </w:pPr>
    <w:rPr>
      <w:rFonts w:eastAsia="Times New Roman"/>
      <w:sz w:val="24"/>
      <w:szCs w:val="24"/>
    </w:rPr>
  </w:style>
  <w:style w:type="paragraph" w:styleId="ListParagraph">
    <w:name w:val="List Paragraph"/>
    <w:basedOn w:val="Normal"/>
    <w:uiPriority w:val="34"/>
    <w:qFormat/>
    <w:rsid w:val="008766D4"/>
    <w:pPr>
      <w:spacing w:after="160" w:line="259" w:lineRule="auto"/>
      <w:ind w:left="720"/>
      <w:contextualSpacing/>
      <w:jc w:val="left"/>
    </w:pPr>
    <w:rPr>
      <w:rFonts w:asciiTheme="minorHAnsi" w:eastAsiaTheme="minorHAnsi" w:hAnsiTheme="minorHAnsi" w:cstheme="minorBidi"/>
      <w:sz w:val="22"/>
      <w:szCs w:val="22"/>
    </w:rPr>
  </w:style>
  <w:style w:type="paragraph" w:customStyle="1" w:styleId="References0">
    <w:name w:val="References"/>
    <w:basedOn w:val="Normal"/>
    <w:link w:val="ReferencesChar"/>
    <w:qFormat/>
    <w:rsid w:val="008766D4"/>
    <w:pPr>
      <w:spacing w:after="60"/>
      <w:ind w:left="425" w:hanging="425"/>
      <w:jc w:val="both"/>
    </w:pPr>
    <w:rPr>
      <w:rFonts w:eastAsia="Times New Roman"/>
      <w:sz w:val="24"/>
      <w:lang w:val="sl-SI" w:eastAsia="sl-SI"/>
    </w:rPr>
  </w:style>
  <w:style w:type="character" w:customStyle="1" w:styleId="ReferencesChar">
    <w:name w:val="References Char"/>
    <w:basedOn w:val="DefaultParagraphFont"/>
    <w:link w:val="References0"/>
    <w:rsid w:val="008766D4"/>
    <w:rPr>
      <w:rFonts w:eastAsia="Times New Roman"/>
      <w:sz w:val="24"/>
      <w:lang w:val="sl-SI" w:eastAsia="sl-SI"/>
    </w:rPr>
  </w:style>
  <w:style w:type="paragraph" w:customStyle="1" w:styleId="CorpsEnumration">
    <w:name w:val="Corps_Enumération"/>
    <w:basedOn w:val="Normal"/>
    <w:rsid w:val="008766D4"/>
    <w:pPr>
      <w:widowControl w:val="0"/>
      <w:numPr>
        <w:numId w:val="18"/>
      </w:numPr>
      <w:autoSpaceDE w:val="0"/>
      <w:autoSpaceDN w:val="0"/>
      <w:adjustRightInd w:val="0"/>
      <w:spacing w:after="320" w:line="260" w:lineRule="atLeast"/>
      <w:jc w:val="both"/>
    </w:pPr>
    <w:rPr>
      <w:rFonts w:ascii="Arial" w:eastAsia="Times New Roman" w:hAnsi="Arial"/>
      <w:noProof/>
      <w:color w:val="000000"/>
      <w:sz w:val="24"/>
      <w:lang w:val="fr-FR" w:eastAsia="fr-FR"/>
    </w:rPr>
  </w:style>
  <w:style w:type="paragraph" w:customStyle="1" w:styleId="Default">
    <w:name w:val="Default"/>
    <w:rsid w:val="000A76AE"/>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unhideWhenUsed/>
    <w:rsid w:val="00E037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3323">
      <w:bodyDiv w:val="1"/>
      <w:marLeft w:val="0"/>
      <w:marRight w:val="0"/>
      <w:marTop w:val="0"/>
      <w:marBottom w:val="0"/>
      <w:divBdr>
        <w:top w:val="none" w:sz="0" w:space="0" w:color="auto"/>
        <w:left w:val="none" w:sz="0" w:space="0" w:color="auto"/>
        <w:bottom w:val="none" w:sz="0" w:space="0" w:color="auto"/>
        <w:right w:val="none" w:sz="0" w:space="0" w:color="auto"/>
      </w:divBdr>
    </w:div>
    <w:div w:id="80837323">
      <w:bodyDiv w:val="1"/>
      <w:marLeft w:val="0"/>
      <w:marRight w:val="0"/>
      <w:marTop w:val="0"/>
      <w:marBottom w:val="0"/>
      <w:divBdr>
        <w:top w:val="none" w:sz="0" w:space="0" w:color="auto"/>
        <w:left w:val="none" w:sz="0" w:space="0" w:color="auto"/>
        <w:bottom w:val="none" w:sz="0" w:space="0" w:color="auto"/>
        <w:right w:val="none" w:sz="0" w:space="0" w:color="auto"/>
      </w:divBdr>
    </w:div>
    <w:div w:id="86972022">
      <w:bodyDiv w:val="1"/>
      <w:marLeft w:val="0"/>
      <w:marRight w:val="0"/>
      <w:marTop w:val="0"/>
      <w:marBottom w:val="0"/>
      <w:divBdr>
        <w:top w:val="none" w:sz="0" w:space="0" w:color="auto"/>
        <w:left w:val="none" w:sz="0" w:space="0" w:color="auto"/>
        <w:bottom w:val="none" w:sz="0" w:space="0" w:color="auto"/>
        <w:right w:val="none" w:sz="0" w:space="0" w:color="auto"/>
      </w:divBdr>
    </w:div>
    <w:div w:id="584192216">
      <w:bodyDiv w:val="1"/>
      <w:marLeft w:val="0"/>
      <w:marRight w:val="0"/>
      <w:marTop w:val="0"/>
      <w:marBottom w:val="0"/>
      <w:divBdr>
        <w:top w:val="none" w:sz="0" w:space="0" w:color="auto"/>
        <w:left w:val="none" w:sz="0" w:space="0" w:color="auto"/>
        <w:bottom w:val="none" w:sz="0" w:space="0" w:color="auto"/>
        <w:right w:val="none" w:sz="0" w:space="0" w:color="auto"/>
      </w:divBdr>
    </w:div>
    <w:div w:id="680670161">
      <w:bodyDiv w:val="1"/>
      <w:marLeft w:val="0"/>
      <w:marRight w:val="0"/>
      <w:marTop w:val="0"/>
      <w:marBottom w:val="0"/>
      <w:divBdr>
        <w:top w:val="none" w:sz="0" w:space="0" w:color="auto"/>
        <w:left w:val="none" w:sz="0" w:space="0" w:color="auto"/>
        <w:bottom w:val="none" w:sz="0" w:space="0" w:color="auto"/>
        <w:right w:val="none" w:sz="0" w:space="0" w:color="auto"/>
      </w:divBdr>
    </w:div>
    <w:div w:id="1262689758">
      <w:bodyDiv w:val="1"/>
      <w:marLeft w:val="0"/>
      <w:marRight w:val="0"/>
      <w:marTop w:val="0"/>
      <w:marBottom w:val="0"/>
      <w:divBdr>
        <w:top w:val="none" w:sz="0" w:space="0" w:color="auto"/>
        <w:left w:val="none" w:sz="0" w:space="0" w:color="auto"/>
        <w:bottom w:val="none" w:sz="0" w:space="0" w:color="auto"/>
        <w:right w:val="none" w:sz="0" w:space="0" w:color="auto"/>
      </w:divBdr>
    </w:div>
    <w:div w:id="1556044139">
      <w:bodyDiv w:val="1"/>
      <w:marLeft w:val="0"/>
      <w:marRight w:val="0"/>
      <w:marTop w:val="0"/>
      <w:marBottom w:val="0"/>
      <w:divBdr>
        <w:top w:val="none" w:sz="0" w:space="0" w:color="auto"/>
        <w:left w:val="none" w:sz="0" w:space="0" w:color="auto"/>
        <w:bottom w:val="none" w:sz="0" w:space="0" w:color="auto"/>
        <w:right w:val="none" w:sz="0" w:space="0" w:color="auto"/>
      </w:divBdr>
    </w:div>
    <w:div w:id="1950507960">
      <w:bodyDiv w:val="1"/>
      <w:marLeft w:val="0"/>
      <w:marRight w:val="0"/>
      <w:marTop w:val="0"/>
      <w:marBottom w:val="0"/>
      <w:divBdr>
        <w:top w:val="none" w:sz="0" w:space="0" w:color="auto"/>
        <w:left w:val="none" w:sz="0" w:space="0" w:color="auto"/>
        <w:bottom w:val="none" w:sz="0" w:space="0" w:color="auto"/>
        <w:right w:val="none" w:sz="0" w:space="0" w:color="auto"/>
      </w:divBdr>
    </w:div>
    <w:div w:id="1994528641">
      <w:bodyDiv w:val="1"/>
      <w:marLeft w:val="0"/>
      <w:marRight w:val="0"/>
      <w:marTop w:val="0"/>
      <w:marBottom w:val="0"/>
      <w:divBdr>
        <w:top w:val="none" w:sz="0" w:space="0" w:color="auto"/>
        <w:left w:val="none" w:sz="0" w:space="0" w:color="auto"/>
        <w:bottom w:val="none" w:sz="0" w:space="0" w:color="auto"/>
        <w:right w:val="none" w:sz="0" w:space="0" w:color="auto"/>
      </w:divBdr>
      <w:divsChild>
        <w:div w:id="2038195013">
          <w:marLeft w:val="0"/>
          <w:marRight w:val="1"/>
          <w:marTop w:val="0"/>
          <w:marBottom w:val="0"/>
          <w:divBdr>
            <w:top w:val="none" w:sz="0" w:space="0" w:color="auto"/>
            <w:left w:val="none" w:sz="0" w:space="0" w:color="auto"/>
            <w:bottom w:val="none" w:sz="0" w:space="0" w:color="auto"/>
            <w:right w:val="none" w:sz="0" w:space="0" w:color="auto"/>
          </w:divBdr>
          <w:divsChild>
            <w:div w:id="1422331147">
              <w:marLeft w:val="0"/>
              <w:marRight w:val="0"/>
              <w:marTop w:val="0"/>
              <w:marBottom w:val="0"/>
              <w:divBdr>
                <w:top w:val="none" w:sz="0" w:space="0" w:color="auto"/>
                <w:left w:val="none" w:sz="0" w:space="0" w:color="auto"/>
                <w:bottom w:val="none" w:sz="0" w:space="0" w:color="auto"/>
                <w:right w:val="none" w:sz="0" w:space="0" w:color="auto"/>
              </w:divBdr>
              <w:divsChild>
                <w:div w:id="28771854">
                  <w:marLeft w:val="0"/>
                  <w:marRight w:val="1"/>
                  <w:marTop w:val="0"/>
                  <w:marBottom w:val="0"/>
                  <w:divBdr>
                    <w:top w:val="none" w:sz="0" w:space="0" w:color="auto"/>
                    <w:left w:val="none" w:sz="0" w:space="0" w:color="auto"/>
                    <w:bottom w:val="none" w:sz="0" w:space="0" w:color="auto"/>
                    <w:right w:val="none" w:sz="0" w:space="0" w:color="auto"/>
                  </w:divBdr>
                  <w:divsChild>
                    <w:div w:id="316038474">
                      <w:marLeft w:val="0"/>
                      <w:marRight w:val="0"/>
                      <w:marTop w:val="0"/>
                      <w:marBottom w:val="0"/>
                      <w:divBdr>
                        <w:top w:val="none" w:sz="0" w:space="0" w:color="auto"/>
                        <w:left w:val="none" w:sz="0" w:space="0" w:color="auto"/>
                        <w:bottom w:val="none" w:sz="0" w:space="0" w:color="auto"/>
                        <w:right w:val="none" w:sz="0" w:space="0" w:color="auto"/>
                      </w:divBdr>
                      <w:divsChild>
                        <w:div w:id="2109110808">
                          <w:marLeft w:val="0"/>
                          <w:marRight w:val="0"/>
                          <w:marTop w:val="0"/>
                          <w:marBottom w:val="0"/>
                          <w:divBdr>
                            <w:top w:val="none" w:sz="0" w:space="0" w:color="auto"/>
                            <w:left w:val="none" w:sz="0" w:space="0" w:color="auto"/>
                            <w:bottom w:val="none" w:sz="0" w:space="0" w:color="auto"/>
                            <w:right w:val="none" w:sz="0" w:space="0" w:color="auto"/>
                          </w:divBdr>
                          <w:divsChild>
                            <w:div w:id="2022900256">
                              <w:marLeft w:val="0"/>
                              <w:marRight w:val="0"/>
                              <w:marTop w:val="120"/>
                              <w:marBottom w:val="360"/>
                              <w:divBdr>
                                <w:top w:val="none" w:sz="0" w:space="0" w:color="auto"/>
                                <w:left w:val="none" w:sz="0" w:space="0" w:color="auto"/>
                                <w:bottom w:val="none" w:sz="0" w:space="0" w:color="auto"/>
                                <w:right w:val="none" w:sz="0" w:space="0" w:color="auto"/>
                              </w:divBdr>
                              <w:divsChild>
                                <w:div w:id="1711219534">
                                  <w:marLeft w:val="0"/>
                                  <w:marRight w:val="0"/>
                                  <w:marTop w:val="0"/>
                                  <w:marBottom w:val="0"/>
                                  <w:divBdr>
                                    <w:top w:val="none" w:sz="0" w:space="0" w:color="auto"/>
                                    <w:left w:val="none" w:sz="0" w:space="0" w:color="auto"/>
                                    <w:bottom w:val="none" w:sz="0" w:space="0" w:color="auto"/>
                                    <w:right w:val="none" w:sz="0" w:space="0" w:color="auto"/>
                                  </w:divBdr>
                                  <w:divsChild>
                                    <w:div w:id="14727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eosweb.larc.nasa.gov/sse/RETScr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tscreen.net"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2538</TotalTime>
  <Pages>5</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aysar yasin</cp:lastModifiedBy>
  <cp:revision>3</cp:revision>
  <cp:lastPrinted>2017-04-05T10:24:00Z</cp:lastPrinted>
  <dcterms:created xsi:type="dcterms:W3CDTF">2017-04-05T10:25:00Z</dcterms:created>
  <dcterms:modified xsi:type="dcterms:W3CDTF">2017-05-01T12:59:00Z</dcterms:modified>
</cp:coreProperties>
</file>