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6D6A" w14:textId="019800B6" w:rsidR="00474C5D" w:rsidRDefault="00467971" w:rsidP="00723A11">
      <w:pPr>
        <w:pStyle w:val="Heading1"/>
      </w:pPr>
      <w:r>
        <w:t xml:space="preserve">Liquidity Risk Management Practices: Comparative Study </w:t>
      </w:r>
      <w:r w:rsidR="00E819AF">
        <w:t xml:space="preserve">of </w:t>
      </w:r>
      <w:r>
        <w:t>Conventional and Islamic Banks Operating in Palestine</w:t>
      </w:r>
    </w:p>
    <w:p w14:paraId="3F3F1895" w14:textId="729EEAB0" w:rsidR="00467971" w:rsidRDefault="00467971" w:rsidP="006D76A7"/>
    <w:p w14:paraId="3C572ABD" w14:textId="27D80F79" w:rsidR="0015772B" w:rsidRPr="001848B3" w:rsidRDefault="00467971" w:rsidP="0015772B">
      <w:pPr>
        <w:spacing w:after="0" w:line="240" w:lineRule="auto"/>
        <w:jc w:val="center"/>
        <w:rPr>
          <w:rFonts w:cs="Simplified Arabic"/>
          <w:b/>
          <w:bCs/>
          <w:sz w:val="34"/>
          <w:szCs w:val="34"/>
        </w:rPr>
      </w:pPr>
      <w:r>
        <w:t>Ra’fat T. Al-Jallad</w:t>
      </w:r>
      <w:r w:rsidRPr="00467971">
        <w:rPr>
          <w:vertAlign w:val="superscript"/>
        </w:rPr>
        <w:t>1</w:t>
      </w:r>
      <w:r>
        <w:t>(</w:t>
      </w:r>
      <w:hyperlink r:id="rId8" w:history="1">
        <w:r w:rsidRPr="006013D6">
          <w:rPr>
            <w:rStyle w:val="Hyperlink"/>
          </w:rPr>
          <w:t>rafat.jallad@najah.edu</w:t>
        </w:r>
      </w:hyperlink>
      <w:r>
        <w:t xml:space="preserve">), </w:t>
      </w:r>
      <w:r w:rsidR="0015772B" w:rsidRPr="0015772B">
        <w:t>Raghad Nasser Ali Al-Ashqer</w:t>
      </w:r>
      <w:r w:rsidR="0015772B" w:rsidRPr="0015772B">
        <w:rPr>
          <w:vertAlign w:val="superscript"/>
        </w:rPr>
        <w:t>2</w:t>
      </w:r>
    </w:p>
    <w:p w14:paraId="0B09593E" w14:textId="770F7A69" w:rsidR="00467971" w:rsidRDefault="00467971" w:rsidP="006D76A7"/>
    <w:p w14:paraId="559E449E" w14:textId="14AB73DD" w:rsidR="00467971" w:rsidRDefault="0015772B" w:rsidP="006D76A7">
      <w:r w:rsidRPr="0015772B">
        <w:rPr>
          <w:vertAlign w:val="superscript"/>
        </w:rPr>
        <w:t>1,2</w:t>
      </w:r>
      <w:r w:rsidR="00467971">
        <w:t>Department of Finance, An-Najah National University, Nablus, Palestine</w:t>
      </w:r>
    </w:p>
    <w:p w14:paraId="1ABDE63D" w14:textId="01BA115A" w:rsidR="00467971" w:rsidRDefault="00467971" w:rsidP="006D76A7"/>
    <w:p w14:paraId="5A384A4A" w14:textId="4C34B0BE" w:rsidR="00467971" w:rsidRDefault="00467971" w:rsidP="003D66E1">
      <w:pPr>
        <w:pStyle w:val="Heading1"/>
        <w:pBdr>
          <w:bottom w:val="single" w:sz="4" w:space="1" w:color="auto"/>
        </w:pBdr>
        <w:jc w:val="left"/>
      </w:pPr>
      <w:r>
        <w:t>Abstract</w:t>
      </w:r>
    </w:p>
    <w:p w14:paraId="33EADCB3" w14:textId="6403232C" w:rsidR="00467971" w:rsidRDefault="00B14209" w:rsidP="0088325D">
      <w:r>
        <w:t>Banks face a multitude of risks that are inherent to their business models. One of the major financial risk is liquidity risk</w:t>
      </w:r>
      <w:r w:rsidR="0088325D">
        <w:t>.</w:t>
      </w:r>
      <w:r w:rsidR="00B416C1">
        <w:t xml:space="preserve"> Islamic Banks becomes a major player of providing ba</w:t>
      </w:r>
      <w:r w:rsidR="003A7B7F">
        <w:t>n</w:t>
      </w:r>
      <w:r w:rsidR="00B416C1">
        <w:t xml:space="preserve">king services in </w:t>
      </w:r>
      <w:r w:rsidR="00C645D5">
        <w:t>many</w:t>
      </w:r>
      <w:r w:rsidR="00B416C1">
        <w:t xml:space="preserve"> </w:t>
      </w:r>
      <w:r w:rsidR="00C645D5">
        <w:t>countries</w:t>
      </w:r>
      <w:r w:rsidR="00B416C1">
        <w:t>. These banks operate under the Shari’ah roles and principles, which create new landscape of opportunities and exposes them to new array of risk</w:t>
      </w:r>
      <w:r w:rsidR="0088325D">
        <w:t>s</w:t>
      </w:r>
      <w:r w:rsidR="00B416C1">
        <w:t>. This paper investigates whether liquidity risk management</w:t>
      </w:r>
      <w:r w:rsidR="00C645D5">
        <w:t xml:space="preserve"> i</w:t>
      </w:r>
      <w:r w:rsidR="0088325D">
        <w:t>n</w:t>
      </w:r>
      <w:r w:rsidR="00C645D5">
        <w:t xml:space="preserve"> Conventional banks is similar to that of Islamic Bank</w:t>
      </w:r>
      <w:r w:rsidR="003A7B7F">
        <w:t>s</w:t>
      </w:r>
      <w:r w:rsidR="00C645D5">
        <w:t xml:space="preserve">. Using a panel data of </w:t>
      </w:r>
      <w:r w:rsidR="002F62E9">
        <w:t xml:space="preserve">fourteen </w:t>
      </w:r>
      <w:r w:rsidR="00C645D5">
        <w:t xml:space="preserve">banks </w:t>
      </w:r>
      <w:r w:rsidR="0088325D">
        <w:t xml:space="preserve">(11 conventional and 3 Islamic) </w:t>
      </w:r>
      <w:r w:rsidR="00C645D5">
        <w:t>operating in Palestine over the period from 2009 to 201</w:t>
      </w:r>
      <w:r w:rsidR="00072743">
        <w:t>8</w:t>
      </w:r>
      <w:r w:rsidR="0088325D">
        <w:t xml:space="preserve"> and </w:t>
      </w:r>
      <w:r w:rsidR="0076766C">
        <w:t>random effect</w:t>
      </w:r>
      <w:r w:rsidR="0088325D">
        <w:t>s</w:t>
      </w:r>
      <w:r w:rsidR="0076766C">
        <w:t xml:space="preserve"> </w:t>
      </w:r>
      <w:r w:rsidR="0076766C" w:rsidRPr="0076766C">
        <w:t xml:space="preserve">regression </w:t>
      </w:r>
      <w:r w:rsidR="0088325D">
        <w:t>after</w:t>
      </w:r>
      <w:r w:rsidR="0076766C" w:rsidRPr="0076766C">
        <w:t xml:space="preserve"> adjusting standard error using </w:t>
      </w:r>
      <w:r w:rsidR="0076766C" w:rsidRPr="00D93500">
        <w:t>Driscoll-Kraay standard errors resistant estimator</w:t>
      </w:r>
      <w:r w:rsidR="0076766C">
        <w:t>, we find that the liquidity risk practices differ substantially between Islamic and conventional banks. In terms of the four variables studied, all the variables show symmetrical response except of deposits-to-assets ratio</w:t>
      </w:r>
      <w:r w:rsidR="00ED4944">
        <w:t xml:space="preserve"> that shows</w:t>
      </w:r>
      <w:r w:rsidR="0023690C">
        <w:t xml:space="preserve"> positive relationship with liquidity risk</w:t>
      </w:r>
      <w:r w:rsidR="003E7CF8">
        <w:t xml:space="preserve"> for </w:t>
      </w:r>
      <w:r w:rsidR="00C26D6B">
        <w:t>conventional</w:t>
      </w:r>
      <w:r w:rsidR="003E7CF8">
        <w:t xml:space="preserve"> banks and </w:t>
      </w:r>
      <w:r w:rsidR="0023690C">
        <w:t xml:space="preserve">a negative relationship </w:t>
      </w:r>
      <w:r w:rsidR="003E7CF8">
        <w:t>for Islamic banks</w:t>
      </w:r>
      <w:r w:rsidR="0023690C">
        <w:t>. This result can be attributed to the supposed fundamental differences in the business models of the two groups of banks</w:t>
      </w:r>
      <w:r w:rsidR="0088325D">
        <w:t xml:space="preserve"> where deposits in Islamic banks have investment component therefore of medium to long-term nature</w:t>
      </w:r>
      <w:r w:rsidR="0023690C">
        <w:t xml:space="preserve">. </w:t>
      </w:r>
      <w:r w:rsidR="00D34679">
        <w:t xml:space="preserve">In addition, two of the variables (ROE and capital adequacy ratio) </w:t>
      </w:r>
      <w:r w:rsidR="0088325D">
        <w:t>are</w:t>
      </w:r>
      <w:r w:rsidR="00D34679">
        <w:t xml:space="preserve"> negatively related to </w:t>
      </w:r>
      <w:r w:rsidR="00EC531D">
        <w:t>liquidity risk</w:t>
      </w:r>
      <w:r w:rsidR="00D34679">
        <w:t xml:space="preserve">, but they are significant at 5% level of significance for Islamic banks and insignificant </w:t>
      </w:r>
      <w:r w:rsidR="00EC531D">
        <w:t>f</w:t>
      </w:r>
      <w:r w:rsidR="00D34679">
        <w:t xml:space="preserve">or conventional banks. </w:t>
      </w:r>
      <w:r w:rsidR="0088325D">
        <w:t xml:space="preserve">Our research provides empirical evidence that shows that Islamic banks and conventional banks needs to be treated differently with respect to their risk management activities. </w:t>
      </w:r>
    </w:p>
    <w:p w14:paraId="134EAB91" w14:textId="4C18A5BA" w:rsidR="0088325D" w:rsidRDefault="0088325D" w:rsidP="0088325D"/>
    <w:p w14:paraId="689AB86B" w14:textId="77777777" w:rsidR="0088325D" w:rsidRDefault="0088325D" w:rsidP="0088325D"/>
    <w:p w14:paraId="07653FD6" w14:textId="73CA0330" w:rsidR="00CB1640" w:rsidRPr="0088325D" w:rsidRDefault="00CB1640" w:rsidP="006D76A7">
      <w:r w:rsidRPr="00CB1640">
        <w:rPr>
          <w:b/>
          <w:bCs/>
        </w:rPr>
        <w:t>Keywords:</w:t>
      </w:r>
      <w:r>
        <w:rPr>
          <w:b/>
          <w:bCs/>
        </w:rPr>
        <w:t xml:space="preserve"> </w:t>
      </w:r>
      <w:r w:rsidR="0088325D" w:rsidRPr="0088325D">
        <w:t xml:space="preserve">Risk </w:t>
      </w:r>
      <w:r w:rsidR="006F74E0" w:rsidRPr="0088325D">
        <w:t xml:space="preserve">Management, </w:t>
      </w:r>
      <w:r w:rsidR="006F74E0">
        <w:t>L</w:t>
      </w:r>
      <w:r w:rsidR="006F74E0" w:rsidRPr="0088325D">
        <w:t>iquidity</w:t>
      </w:r>
      <w:r w:rsidR="006F74E0">
        <w:t xml:space="preserve"> Risk</w:t>
      </w:r>
      <w:r w:rsidR="006F74E0" w:rsidRPr="0088325D">
        <w:t xml:space="preserve">, </w:t>
      </w:r>
      <w:r w:rsidR="006F74E0">
        <w:t>P</w:t>
      </w:r>
      <w:r w:rsidR="006F74E0" w:rsidRPr="0088325D">
        <w:t xml:space="preserve">anel Data, </w:t>
      </w:r>
      <w:r w:rsidR="0088325D">
        <w:t xml:space="preserve">Islamic </w:t>
      </w:r>
      <w:r w:rsidR="006F74E0">
        <w:t>Banks, Conventional Banks</w:t>
      </w:r>
      <w:r w:rsidR="0088325D">
        <w:t>.</w:t>
      </w:r>
    </w:p>
    <w:p w14:paraId="0B6B225E" w14:textId="41C9391A" w:rsidR="003851BE" w:rsidRDefault="003851BE" w:rsidP="002B430C">
      <w:pPr>
        <w:pStyle w:val="Heading2"/>
      </w:pPr>
      <w:r>
        <w:lastRenderedPageBreak/>
        <w:t>Introduction</w:t>
      </w:r>
    </w:p>
    <w:p w14:paraId="5FA06B97" w14:textId="3240A82C" w:rsidR="00782D41" w:rsidRDefault="00F15731" w:rsidP="001A5852">
      <w:r w:rsidRPr="006D76A7">
        <w:t>Banking institutions play a significant role in the financial development of a country and its economic growth.  The financial intermediation</w:t>
      </w:r>
      <w:r w:rsidR="00FE45E1" w:rsidRPr="006D76A7">
        <w:t xml:space="preserve"> exerted by </w:t>
      </w:r>
      <w:r w:rsidR="00220FB0" w:rsidRPr="006D76A7">
        <w:t xml:space="preserve">banks has its rewards but exposes these institutions to significant risks that needs to be managed properly to maximize their value. </w:t>
      </w:r>
      <w:r w:rsidR="001639AA" w:rsidRPr="006D76A7">
        <w:t xml:space="preserve">Banks faces multitude of risks that </w:t>
      </w:r>
      <w:r w:rsidR="006D76A7">
        <w:t xml:space="preserve">hinder their activities and survival. </w:t>
      </w:r>
      <w:r w:rsidR="001A5852">
        <w:t xml:space="preserve">The risks faced by financial institutions are grouped into three main areas namely: financial risks, business risks and operational risks. The financial risks category includes market, credit and liquidity risks </w:t>
      </w:r>
      <w:r w:rsidR="001A5852">
        <w:fldChar w:fldCharType="begin"/>
      </w:r>
      <w:r w:rsidR="00895548">
        <w:instrText xml:space="preserve"> ADDIN EN.CITE &lt;EndNote&gt;&lt;Cite&gt;&lt;Author&gt;Salem&lt;/Author&gt;&lt;Year&gt;2013&lt;/Year&gt;&lt;RecNum&gt;1&lt;/RecNum&gt;&lt;DisplayText&gt;(Salem, 2013)&lt;/DisplayText&gt;&lt;record&gt;&lt;rec-number&gt;1&lt;/rec-number&gt;&lt;foreign-keys&gt;&lt;key app="EN" db-id="s5wfp0f2qf99z4e9dvmvrwt192ff2arrfzfv" timestamp="0"&gt;1&lt;/key&gt;&lt;/foreign-keys&gt;&lt;ref-type name="Book"&gt;6&lt;/ref-type&gt;&lt;contributors&gt;&lt;authors&gt;&lt;author&gt;Salem, Rania Abdelfattah&lt;/author&gt;&lt;/authors&gt;&lt;/contributors&gt;&lt;titles&gt;&lt;title&gt;Risk management for Islamic banks&lt;/title&gt;&lt;/titles&gt;&lt;dates&gt;&lt;year&gt;2013&lt;/year&gt;&lt;/dates&gt;&lt;publisher&gt;Edinburgh University Press&lt;/publisher&gt;&lt;isbn&gt;0748670092&lt;/isbn&gt;&lt;urls&gt;&lt;/urls&gt;&lt;/record&gt;&lt;/Cite&gt;&lt;/EndNote&gt;</w:instrText>
      </w:r>
      <w:r w:rsidR="001A5852">
        <w:fldChar w:fldCharType="separate"/>
      </w:r>
      <w:r w:rsidR="001A5852">
        <w:rPr>
          <w:noProof/>
        </w:rPr>
        <w:t>(Salem, 2013)</w:t>
      </w:r>
      <w:r w:rsidR="001A5852">
        <w:fldChar w:fldCharType="end"/>
      </w:r>
      <w:r w:rsidR="001A5852">
        <w:t>.</w:t>
      </w:r>
    </w:p>
    <w:p w14:paraId="24A1966B" w14:textId="22A1029B" w:rsidR="001A5852" w:rsidRDefault="001A5852" w:rsidP="001A5852">
      <w:r>
        <w:t>Li</w:t>
      </w:r>
      <w:r w:rsidRPr="001A5852">
        <w:t xml:space="preserve">quidity is defined as a bank’s ability to fund its assets side growth and fulfillment of both expected and unexpected requirements for cash obligations at reasonable cost and without incurring unacceptable losses </w:t>
      </w:r>
      <w:r w:rsidRPr="001A5852">
        <w:fldChar w:fldCharType="begin"/>
      </w:r>
      <w:r w:rsidR="00895548">
        <w:instrText xml:space="preserve"> ADDIN EN.CITE &lt;EndNote&gt;&lt;Cite&gt;&lt;Author&gt;Kumar&lt;/Author&gt;&lt;Year&gt;2013&lt;/Year&gt;&lt;RecNum&gt;2&lt;/RecNum&gt;&lt;DisplayText&gt;(Kumar &amp;amp; Yadav, 2013)&lt;/DisplayText&gt;&lt;record&gt;&lt;rec-number&gt;2&lt;/rec-number&gt;&lt;foreign-keys&gt;&lt;key app="EN" db-id="s5wfp0f2qf99z4e9dvmvrwt192ff2arrfzfv" timestamp="0"&gt;2&lt;/key&gt;&lt;/foreign-keys&gt;&lt;ref-type name="Journal Article"&gt;17&lt;/ref-type&gt;&lt;contributors&gt;&lt;authors&gt;&lt;author&gt;Kumar, Manish&lt;/author&gt;&lt;author&gt;Yadav, Ghanshyam Chand&lt;/author&gt;&lt;/authors&gt;&lt;/contributors&gt;&lt;titles&gt;&lt;title&gt;Liquidity risk management in bank: a conceptual framework&lt;/title&gt;&lt;secondary-title&gt;AIMA journal of management research&lt;/secondary-title&gt;&lt;/titles&gt;&lt;pages&gt;2-12&lt;/pages&gt;&lt;volume&gt;7&lt;/volume&gt;&lt;number&gt;2&lt;/number&gt;&lt;dates&gt;&lt;year&gt;2013&lt;/year&gt;&lt;/dates&gt;&lt;urls&gt;&lt;/urls&gt;&lt;/record&gt;&lt;/Cite&gt;&lt;/EndNote&gt;</w:instrText>
      </w:r>
      <w:r w:rsidRPr="001A5852">
        <w:fldChar w:fldCharType="separate"/>
      </w:r>
      <w:r w:rsidRPr="001A5852">
        <w:rPr>
          <w:noProof/>
        </w:rPr>
        <w:t>(Kumar &amp; Yadav, 2013)</w:t>
      </w:r>
      <w:r w:rsidRPr="001A5852">
        <w:fldChar w:fldCharType="end"/>
      </w:r>
      <w:r w:rsidRPr="001A5852">
        <w:t xml:space="preserve">. Bank’s liquidity has two dimensions: the first one is related to the availability of liquid assets that can be liquidated at short notice without loss of value. The second refers to the ability to obtain raise funds in the market at reasonable cost. </w:t>
      </w:r>
      <w:r w:rsidR="00232DE8">
        <w:t xml:space="preserve">The two </w:t>
      </w:r>
      <w:r w:rsidRPr="001A5852">
        <w:t>concepts are interrelated and the</w:t>
      </w:r>
      <w:r w:rsidR="00232DE8">
        <w:t xml:space="preserve">ir interaction </w:t>
      </w:r>
      <w:r w:rsidRPr="001A5852">
        <w:t>tends towards their mutual reinforcement</w:t>
      </w:r>
      <w:r w:rsidR="00922C1D">
        <w:t xml:space="preserve"> </w:t>
      </w:r>
      <w:r w:rsidRPr="001A5852">
        <w:fldChar w:fldCharType="begin"/>
      </w:r>
      <w:r w:rsidR="00895548">
        <w:instrText xml:space="preserve"> ADDIN EN.CITE &lt;EndNote&gt;&lt;Cite&gt;&lt;Author&gt;Kumar&lt;/Author&gt;&lt;Year&gt;2013&lt;/Year&gt;&lt;RecNum&gt;2&lt;/RecNum&gt;&lt;DisplayText&gt;(Kumar &amp;amp; Yadav, 2013)&lt;/DisplayText&gt;&lt;record&gt;&lt;rec-number&gt;2&lt;/rec-number&gt;&lt;foreign-keys&gt;&lt;key app="EN" db-id="s5wfp0f2qf99z4e9dvmvrwt192ff2arrfzfv" timestamp="0"&gt;2&lt;/key&gt;&lt;/foreign-keys&gt;&lt;ref-type name="Journal Article"&gt;17&lt;/ref-type&gt;&lt;contributors&gt;&lt;authors&gt;&lt;author&gt;Kumar, Manish&lt;/author&gt;&lt;author&gt;Yadav, Ghanshyam Chand&lt;/author&gt;&lt;/authors&gt;&lt;/contributors&gt;&lt;titles&gt;&lt;title&gt;Liquidity risk management in bank: a conceptual framework&lt;/title&gt;&lt;secondary-title&gt;AIMA journal of management research&lt;/secondary-title&gt;&lt;/titles&gt;&lt;pages&gt;2-12&lt;/pages&gt;&lt;volume&gt;7&lt;/volume&gt;&lt;number&gt;2&lt;/number&gt;&lt;dates&gt;&lt;year&gt;2013&lt;/year&gt;&lt;/dates&gt;&lt;urls&gt;&lt;/urls&gt;&lt;/record&gt;&lt;/Cite&gt;&lt;/EndNote&gt;</w:instrText>
      </w:r>
      <w:r w:rsidRPr="001A5852">
        <w:fldChar w:fldCharType="separate"/>
      </w:r>
      <w:r w:rsidRPr="001A5852">
        <w:rPr>
          <w:noProof/>
        </w:rPr>
        <w:t>(Kumar &amp; Yadav, 2013)</w:t>
      </w:r>
      <w:r w:rsidRPr="001A5852">
        <w:fldChar w:fldCharType="end"/>
      </w:r>
      <w:r w:rsidR="00922C1D">
        <w:t xml:space="preserve">. </w:t>
      </w:r>
    </w:p>
    <w:p w14:paraId="30C684DC" w14:textId="51B5BC14" w:rsidR="006A30ED" w:rsidRDefault="006A30ED" w:rsidP="00052C44">
      <w:r w:rsidRPr="00A941C8">
        <w:t xml:space="preserve">Risk management </w:t>
      </w:r>
      <w:r w:rsidR="00B10061">
        <w:t>can be defined as</w:t>
      </w:r>
      <w:r w:rsidRPr="00A941C8">
        <w:t xml:space="preserve"> the general procedure</w:t>
      </w:r>
      <w:r w:rsidR="00B10061">
        <w:t>s</w:t>
      </w:r>
      <w:r w:rsidRPr="00A941C8">
        <w:t xml:space="preserve"> that a financial institution </w:t>
      </w:r>
      <w:r w:rsidR="00B10061">
        <w:t>use</w:t>
      </w:r>
      <w:r w:rsidRPr="00A941C8">
        <w:t xml:space="preserve"> to </w:t>
      </w:r>
      <w:r w:rsidR="00985A50">
        <w:t>establish</w:t>
      </w:r>
      <w:r w:rsidRPr="00A941C8">
        <w:t xml:space="preserve"> the nature of risks and to develop the right strategy to mitigate those identified risks </w:t>
      </w:r>
      <w:r w:rsidRPr="00A941C8">
        <w:fldChar w:fldCharType="begin"/>
      </w:r>
      <w:r w:rsidRPr="00A941C8">
        <w:instrText xml:space="preserve"> ADDIN EN.CITE &lt;EndNote&gt;&lt;Cite&gt;&lt;Author&gt;Cumming&lt;/Author&gt;&lt;Year&gt;2001&lt;/Year&gt;&lt;RecNum&gt;3&lt;/RecNum&gt;&lt;DisplayText&gt;(Cumming &amp;amp; Hirtle, 2001)&lt;/DisplayText&gt;&lt;record&gt;&lt;rec-number&gt;3&lt;/rec-number&gt;&lt;foreign-keys&gt;&lt;key app="EN" db-id="ztsvtds96tatwpezaf752f9srez5x0prfwtd" timestamp="1597569375"&gt;3&lt;/key&gt;&lt;/foreign-keys&gt;&lt;ref-type name="Journal Article"&gt;17&lt;/ref-type&gt;&lt;contributors&gt;&lt;authors&gt;&lt;author&gt;Cumming, Christine&lt;/author&gt;&lt;author&gt;Hirtle, Beverly&lt;/author&gt;&lt;/authors&gt;&lt;/contributors&gt;&lt;titles&gt;&lt;title&gt;The challenges of risk management in diversified financial companies&lt;/title&gt;&lt;secondary-title&gt;Economic Policy Review&lt;/secondary-title&gt;&lt;/titles&gt;&lt;periodical&gt;&lt;full-title&gt;Economic Policy Review&lt;/full-title&gt;&lt;/periodical&gt;&lt;volume&gt;7&lt;/volume&gt;&lt;number&gt;1&lt;/number&gt;&lt;dates&gt;&lt;year&gt;2001&lt;/year&gt;&lt;/dates&gt;&lt;urls&gt;&lt;/urls&gt;&lt;/record&gt;&lt;/Cite&gt;&lt;/EndNote&gt;</w:instrText>
      </w:r>
      <w:r w:rsidRPr="00A941C8">
        <w:fldChar w:fldCharType="separate"/>
      </w:r>
      <w:r w:rsidRPr="00A941C8">
        <w:rPr>
          <w:noProof/>
        </w:rPr>
        <w:t>(Cumming &amp; Hirtle, 2001)</w:t>
      </w:r>
      <w:r w:rsidRPr="00A941C8">
        <w:fldChar w:fldCharType="end"/>
      </w:r>
      <w:r w:rsidRPr="00A941C8">
        <w:t>.</w:t>
      </w:r>
      <w:r>
        <w:t xml:space="preserve"> </w:t>
      </w:r>
      <w:r w:rsidRPr="00A941C8">
        <w:t>The risk management</w:t>
      </w:r>
      <w:r w:rsidR="00192D83">
        <w:t xml:space="preserve"> process aims to</w:t>
      </w:r>
      <w:r w:rsidRPr="00A941C8">
        <w:t xml:space="preserve"> ensure that the correct sequence of procedures of identification, measurement, and </w:t>
      </w:r>
      <w:r w:rsidR="00192D83">
        <w:t>management</w:t>
      </w:r>
      <w:r w:rsidRPr="00A941C8">
        <w:t xml:space="preserve"> of the risks have been followed </w:t>
      </w:r>
      <w:r w:rsidRPr="00A941C8">
        <w:fldChar w:fldCharType="begin"/>
      </w:r>
      <w:r>
        <w:instrText xml:space="preserve"> ADDIN EN.CITE &lt;EndNote&gt;&lt;Cite&gt;&lt;Author&gt;Rosly&lt;/Author&gt;&lt;Year&gt;2005&lt;/Year&gt;&lt;RecNum&gt;4&lt;/RecNum&gt;&lt;DisplayText&gt;(Rosly, 2005)&lt;/DisplayText&gt;&lt;record&gt;&lt;rec-number&gt;4&lt;/rec-number&gt;&lt;foreign-keys&gt;&lt;key app="EN" db-id="ztsvtds96tatwpezaf752f9srez5x0prfwtd" timestamp="1597569457"&gt;4&lt;/key&gt;&lt;/foreign-keys&gt;&lt;ref-type name="Journal Article"&gt;17&lt;/ref-type&gt;&lt;contributors&gt;&lt;authors&gt;&lt;author&gt;Rosly, Saiful Azhar&lt;/author&gt;&lt;/authors&gt;&lt;/contributors&gt;&lt;titles&gt;&lt;title&gt;Islamic banking: Doing things right and doing right things&lt;/title&gt;&lt;secondary-title&gt;Malaysian Journal of Economic Studies&lt;/secondary-title&gt;&lt;/titles&gt;&lt;periodical&gt;&lt;full-title&gt;Malaysian Journal of Economic Studies&lt;/full-title&gt;&lt;/periodical&gt;&lt;pages&gt;31-40&lt;/pages&gt;&lt;volume&gt;42&lt;/volume&gt;&lt;number&gt;1&lt;/number&gt;&lt;dates&gt;&lt;year&gt;2005&lt;/year&gt;&lt;/dates&gt;&lt;urls&gt;&lt;/urls&gt;&lt;/record&gt;&lt;/Cite&gt;&lt;/EndNote&gt;</w:instrText>
      </w:r>
      <w:r w:rsidRPr="00A941C8">
        <w:fldChar w:fldCharType="separate"/>
      </w:r>
      <w:r>
        <w:rPr>
          <w:noProof/>
        </w:rPr>
        <w:t>(Rosly, 2005)</w:t>
      </w:r>
      <w:r w:rsidRPr="00A941C8">
        <w:fldChar w:fldCharType="end"/>
      </w:r>
      <w:r w:rsidRPr="00A941C8">
        <w:t>.</w:t>
      </w:r>
      <w:r>
        <w:t xml:space="preserve"> </w:t>
      </w:r>
    </w:p>
    <w:p w14:paraId="69090A0E" w14:textId="271EFF4A" w:rsidR="00C752B0" w:rsidRDefault="00C752B0" w:rsidP="00C752B0">
      <w:r>
        <w:t xml:space="preserve">Liquidity risk management represents one of the main risks that is expected to be a major risk area facing Islamic banks due to a number of reasons. First: Islamic banks lack Shari’ah compatible money market instruments that can be used to manage its liquid risk. This comes from the fact that </w:t>
      </w:r>
      <w:r w:rsidRPr="00C752B0">
        <w:t xml:space="preserve">Shari’ah prohibits securitization of debt other than at par value. Second: The absence of interbank market for Islamic banks makes it difficult for them to tap into the money and capital market for raising funds </w:t>
      </w:r>
      <w:r w:rsidRPr="00C752B0">
        <w:fldChar w:fldCharType="begin"/>
      </w:r>
      <w:r w:rsidR="00895548">
        <w:instrText xml:space="preserve"> ADDIN EN.CITE &lt;EndNote&gt;&lt;Cite&gt;&lt;Author&gt;Salem&lt;/Author&gt;&lt;Year&gt;2013&lt;/Year&gt;&lt;RecNum&gt;1&lt;/RecNum&gt;&lt;DisplayText&gt;(Salem, 2013)&lt;/DisplayText&gt;&lt;record&gt;&lt;rec-number&gt;1&lt;/rec-number&gt;&lt;foreign-keys&gt;&lt;key app="EN" db-id="s5wfp0f2qf99z4e9dvmvrwt192ff2arrfzfv" timestamp="0"&gt;1&lt;/key&gt;&lt;/foreign-keys&gt;&lt;ref-type name="Book"&gt;6&lt;/ref-type&gt;&lt;contributors&gt;&lt;authors&gt;&lt;author&gt;Salem, Rania Abdelfattah&lt;/author&gt;&lt;/authors&gt;&lt;/contributors&gt;&lt;titles&gt;&lt;title&gt;Risk management for Islamic banks&lt;/title&gt;&lt;/titles&gt;&lt;dates&gt;&lt;year&gt;2013&lt;/year&gt;&lt;/dates&gt;&lt;publisher&gt;Edinburgh University Press&lt;/publisher&gt;&lt;isbn&gt;0748670092&lt;/isbn&gt;&lt;urls&gt;&lt;/urls&gt;&lt;/record&gt;&lt;/Cite&gt;&lt;/EndNote&gt;</w:instrText>
      </w:r>
      <w:r w:rsidRPr="00C752B0">
        <w:fldChar w:fldCharType="separate"/>
      </w:r>
      <w:r w:rsidRPr="00C752B0">
        <w:rPr>
          <w:noProof/>
        </w:rPr>
        <w:t>(Salem, 2013)</w:t>
      </w:r>
      <w:r w:rsidRPr="00C752B0">
        <w:fldChar w:fldCharType="end"/>
      </w:r>
      <w:r w:rsidRPr="00C752B0">
        <w:t>. On the other hand, w</w:t>
      </w:r>
      <w:r w:rsidR="001B6AE5" w:rsidRPr="00C752B0">
        <w:t xml:space="preserve">hen illiquidity problems arise, </w:t>
      </w:r>
      <w:r w:rsidRPr="00C752B0">
        <w:t xml:space="preserve">conventional </w:t>
      </w:r>
      <w:r w:rsidR="001B6AE5" w:rsidRPr="00C752B0">
        <w:t>banks turn to interbank or central bank lending.</w:t>
      </w:r>
      <w:r w:rsidR="002A123D">
        <w:t xml:space="preserve"> Therefore,</w:t>
      </w:r>
      <w:r w:rsidR="001B6AE5" w:rsidRPr="00C752B0">
        <w:t xml:space="preserve"> </w:t>
      </w:r>
      <w:r w:rsidR="002A123D" w:rsidRPr="002A123D">
        <w:t>Islamic banks hold higher levels of liquidity, which negatively affects their profitability mea</w:t>
      </w:r>
      <w:r w:rsidR="002A123D" w:rsidRPr="00FD0B3A">
        <w:t>sures</w:t>
      </w:r>
      <w:r w:rsidR="008C73A9">
        <w:t xml:space="preserve"> </w:t>
      </w:r>
      <w:r w:rsidR="008C73A9">
        <w:fldChar w:fldCharType="begin"/>
      </w:r>
      <w:r w:rsidR="00895548">
        <w:instrText xml:space="preserve"> ADDIN EN.CITE &lt;EndNote&gt;&lt;Cite&gt;&lt;Author&gt;Brown&lt;/Author&gt;&lt;Year&gt;2007&lt;/Year&gt;&lt;RecNum&gt;3&lt;/RecNum&gt;&lt;DisplayText&gt;(Brown, Hassan, &amp;amp; Skully, 2007)&lt;/DisplayText&gt;&lt;record&gt;&lt;rec-number&gt;3&lt;/rec-number&gt;&lt;foreign-keys&gt;&lt;key app="EN" db-id="s5wfp0f2qf99z4e9dvmvrwt192ff2arrfzfv" timestamp="0"&gt;3&lt;/key&gt;&lt;/foreign-keys&gt;&lt;ref-type name="Journal Article"&gt;17&lt;/ref-type&gt;&lt;contributors&gt;&lt;authors&gt;&lt;author&gt;Brown, Kym&lt;/author&gt;&lt;author&gt;Hassan, M Kabir&lt;/author&gt;&lt;author&gt;M Skully&lt;/author&gt;&lt;/authors&gt;&lt;/contributors&gt;&lt;titles&gt;&lt;title&gt;Operational efficiency and performance of Islamic banks&lt;/title&gt;&lt;secondary-title&gt;Handbook of Islamic banking&lt;/secondary-title&gt;&lt;/titles&gt;&lt;volume&gt;96&lt;/volume&gt;&lt;dates&gt;&lt;year&gt;2007&lt;/year&gt;&lt;/dates&gt;&lt;urls&gt;&lt;/urls&gt;&lt;/record&gt;&lt;/Cite&gt;&lt;/EndNote&gt;</w:instrText>
      </w:r>
      <w:r w:rsidR="008C73A9">
        <w:fldChar w:fldCharType="separate"/>
      </w:r>
      <w:r w:rsidR="008C73A9">
        <w:rPr>
          <w:noProof/>
        </w:rPr>
        <w:t>(Brown, Hassan, &amp; Skully, 2007)</w:t>
      </w:r>
      <w:r w:rsidR="008C73A9">
        <w:fldChar w:fldCharType="end"/>
      </w:r>
      <w:r w:rsidR="008C73A9">
        <w:t>.</w:t>
      </w:r>
    </w:p>
    <w:p w14:paraId="111D53BC" w14:textId="6B874F2B" w:rsidR="0096251B" w:rsidRDefault="0096251B" w:rsidP="0096251B">
      <w:r>
        <w:lastRenderedPageBreak/>
        <w:t xml:space="preserve">Risk management in conventional banks has been researched extensively. On the other hand, risk management in Islamic banks still an infant area </w:t>
      </w:r>
      <w:r>
        <w:fldChar w:fldCharType="begin"/>
      </w:r>
      <w:r w:rsidR="00895548">
        <w:instrText xml:space="preserve"> ADDIN EN.CITE &lt;EndNote&gt;&lt;Cite&gt;&lt;Author&gt;Salem&lt;/Author&gt;&lt;Year&gt;2013&lt;/Year&gt;&lt;RecNum&gt;1&lt;/RecNum&gt;&lt;DisplayText&gt;(Salem, 2013)&lt;/DisplayText&gt;&lt;record&gt;&lt;rec-number&gt;1&lt;/rec-number&gt;&lt;foreign-keys&gt;&lt;key app="EN" db-id="s5wfp0f2qf99z4e9dvmvrwt192ff2arrfzfv" timestamp="0"&gt;1&lt;/key&gt;&lt;/foreign-keys&gt;&lt;ref-type name="Book"&gt;6&lt;/ref-type&gt;&lt;contributors&gt;&lt;authors&gt;&lt;author&gt;Salem, Rania Abdelfattah&lt;/author&gt;&lt;/authors&gt;&lt;/contributors&gt;&lt;titles&gt;&lt;title&gt;Risk management for Islamic banks&lt;/title&gt;&lt;/titles&gt;&lt;dates&gt;&lt;year&gt;2013&lt;/year&gt;&lt;/dates&gt;&lt;publisher&gt;Edinburgh University Press&lt;/publisher&gt;&lt;isbn&gt;0748670092&lt;/isbn&gt;&lt;urls&gt;&lt;/urls&gt;&lt;/record&gt;&lt;/Cite&gt;&lt;/EndNote&gt;</w:instrText>
      </w:r>
      <w:r>
        <w:fldChar w:fldCharType="separate"/>
      </w:r>
      <w:r>
        <w:rPr>
          <w:noProof/>
        </w:rPr>
        <w:t>(Salem, 2013)</w:t>
      </w:r>
      <w:r>
        <w:fldChar w:fldCharType="end"/>
      </w:r>
      <w:r>
        <w:t xml:space="preserve">. This area deserves extensive research due to the fact that besides the need to be competitive in a business sense, Islamic banks need to comply with Shari’ah principles. These principles shape the opportunities landscape for these banks and at the same time contribute towards increasing their risk exposures. </w:t>
      </w:r>
      <w:r w:rsidRPr="00A941C8">
        <w:t xml:space="preserve">Risk management in Islamic banks consists of risk measurement, risk management and risk control </w:t>
      </w:r>
      <w:r w:rsidRPr="00A941C8">
        <w:fldChar w:fldCharType="begin"/>
      </w:r>
      <w:r>
        <w:instrText xml:space="preserve"> ADDIN EN.CITE &lt;EndNote&gt;&lt;Cite&gt;&lt;Author&gt;Van Greuning&lt;/Author&gt;&lt;Year&gt;2007&lt;/Year&gt;&lt;RecNum&gt;5&lt;/RecNum&gt;&lt;DisplayText&gt;(Van Greuning &amp;amp; Iqbal, 2007)&lt;/DisplayText&gt;&lt;record&gt;&lt;rec-number&gt;5&lt;/rec-number&gt;&lt;foreign-keys&gt;&lt;key app="EN" db-id="ztsvtds96tatwpezaf752f9srez5x0prfwtd" timestamp="1597569517"&gt;5&lt;/key&gt;&lt;/foreign-keys&gt;&lt;ref-type name="Book"&gt;6&lt;/ref-type&gt;&lt;contributors&gt;&lt;authors&gt;&lt;author&gt;Van Greuning, Hennie&lt;/author&gt;&lt;author&gt;Iqbal, Zamir&lt;/author&gt;&lt;/authors&gt;&lt;/contributors&gt;&lt;titles&gt;&lt;title&gt;Risk analysis for Islamic banks&lt;/title&gt;&lt;/titles&gt;&lt;dates&gt;&lt;year&gt;2007&lt;/year&gt;&lt;/dates&gt;&lt;publisher&gt;The world bank&lt;/publisher&gt;&lt;isbn&gt;082137141X&lt;/isbn&gt;&lt;urls&gt;&lt;/urls&gt;&lt;/record&gt;&lt;/Cite&gt;&lt;/EndNote&gt;</w:instrText>
      </w:r>
      <w:r w:rsidRPr="00A941C8">
        <w:fldChar w:fldCharType="separate"/>
      </w:r>
      <w:r>
        <w:rPr>
          <w:noProof/>
        </w:rPr>
        <w:t>(Van Greuning &amp; Iqbal, 2007)</w:t>
      </w:r>
      <w:r w:rsidRPr="00A941C8">
        <w:fldChar w:fldCharType="end"/>
      </w:r>
      <w:r w:rsidRPr="00A941C8">
        <w:t xml:space="preserve">. </w:t>
      </w:r>
    </w:p>
    <w:p w14:paraId="6D825DC0" w14:textId="03F057FC" w:rsidR="00895548" w:rsidRDefault="00B4644F" w:rsidP="001F10DD">
      <w:r>
        <w:t>Islamic financial institutions currently face the challenge of</w:t>
      </w:r>
      <w:r>
        <w:t xml:space="preserve"> </w:t>
      </w:r>
      <w:r>
        <w:t>understanding the inherent risks and designing an efficient</w:t>
      </w:r>
      <w:r>
        <w:t xml:space="preserve"> </w:t>
      </w:r>
      <w:r>
        <w:t>risk management framework</w:t>
      </w:r>
      <w:r>
        <w:t xml:space="preserve">. </w:t>
      </w:r>
      <w:r w:rsidR="00895548">
        <w:t xml:space="preserve">Islamic banks clearly lack a </w:t>
      </w:r>
      <w:r w:rsidR="00895548">
        <w:t>standardized</w:t>
      </w:r>
      <w:r w:rsidR="00895548">
        <w:t xml:space="preserve"> identification</w:t>
      </w:r>
      <w:r w:rsidR="00895548">
        <w:t xml:space="preserve"> </w:t>
      </w:r>
      <w:r w:rsidR="00895548">
        <w:t>of the risks underlying Islamic financial contracts, such</w:t>
      </w:r>
      <w:r w:rsidR="00895548">
        <w:t xml:space="preserve"> </w:t>
      </w:r>
      <w:r w:rsidR="00895548">
        <w:t>as in the case of murabaha where market risk is commonly</w:t>
      </w:r>
      <w:r w:rsidR="00895548">
        <w:t xml:space="preserve"> </w:t>
      </w:r>
      <w:r w:rsidR="00895548">
        <w:t>misidentified</w:t>
      </w:r>
      <w:r w:rsidR="00895548">
        <w:t xml:space="preserve"> </w:t>
      </w:r>
      <w:r w:rsidR="00895548">
        <w:fldChar w:fldCharType="begin"/>
      </w:r>
      <w:r w:rsidR="00895548">
        <w:instrText xml:space="preserve"> ADDIN EN.CITE &lt;EndNote&gt;&lt;Cite&gt;&lt;Author&gt;Salem&lt;/Author&gt;&lt;Year&gt;2013&lt;/Year&gt;&lt;RecNum&gt;1&lt;/RecNum&gt;&lt;DisplayText&gt;(Salem, 2013)&lt;/DisplayText&gt;&lt;record&gt;&lt;rec-number&gt;1&lt;/rec-number&gt;&lt;foreign-keys&gt;&lt;key app="EN" db-id="s5wfp0f2qf99z4e9dvmvrwt192ff2arrfzfv" timestamp="0"&gt;1&lt;/key&gt;&lt;/foreign-keys&gt;&lt;ref-type name="Book"&gt;6&lt;/ref-type&gt;&lt;contributors&gt;&lt;authors&gt;&lt;author&gt;Salem, Rania Abdelfattah&lt;/author&gt;&lt;/authors&gt;&lt;/contributors&gt;&lt;titles&gt;&lt;title&gt;Risk management for Islamic banks&lt;/title&gt;&lt;/titles&gt;&lt;dates&gt;&lt;year&gt;2013&lt;/year&gt;&lt;/dates&gt;&lt;publisher&gt;Edinburgh University Press&lt;/publisher&gt;&lt;isbn&gt;0748670092&lt;/isbn&gt;&lt;urls&gt;&lt;/urls&gt;&lt;/record&gt;&lt;/Cite&gt;&lt;/EndNote&gt;</w:instrText>
      </w:r>
      <w:r w:rsidR="00895548">
        <w:fldChar w:fldCharType="separate"/>
      </w:r>
      <w:r w:rsidR="00895548">
        <w:rPr>
          <w:noProof/>
        </w:rPr>
        <w:t>(Salem, 2013)</w:t>
      </w:r>
      <w:r w:rsidR="00895548">
        <w:fldChar w:fldCharType="end"/>
      </w:r>
      <w:r w:rsidR="00895548">
        <w:t>.</w:t>
      </w:r>
      <w:r w:rsidR="00BA77ED" w:rsidRPr="00BA77ED">
        <w:t xml:space="preserve"> </w:t>
      </w:r>
      <w:r w:rsidR="00BA77ED">
        <w:t>Additionally, designing a risk management</w:t>
      </w:r>
      <w:r w:rsidR="00BA77ED">
        <w:t xml:space="preserve"> </w:t>
      </w:r>
      <w:r w:rsidR="00BA77ED">
        <w:t>framework for Islamic banks is highly challenged by the</w:t>
      </w:r>
      <w:r w:rsidR="00BA77ED">
        <w:t xml:space="preserve"> </w:t>
      </w:r>
      <w:r w:rsidR="00BA77ED">
        <w:t xml:space="preserve">lack of </w:t>
      </w:r>
      <w:r w:rsidR="00BA77ED">
        <w:t>standardization</w:t>
      </w:r>
      <w:r w:rsidR="00BA77ED">
        <w:t xml:space="preserve"> in financial reporting, the lack of</w:t>
      </w:r>
      <w:r w:rsidR="00BA77ED">
        <w:t xml:space="preserve"> </w:t>
      </w:r>
      <w:r w:rsidR="00BA77ED">
        <w:t>applicable quantitative measures and the inadequate risk</w:t>
      </w:r>
      <w:r w:rsidR="00F72D88">
        <w:t xml:space="preserve"> </w:t>
      </w:r>
      <w:r w:rsidR="00BA77ED">
        <w:t>monitoring systems.</w:t>
      </w:r>
      <w:r w:rsidR="001F10DD">
        <w:t xml:space="preserve"> </w:t>
      </w:r>
      <w:r w:rsidR="001F10DD">
        <w:t>For instance, having the financing</w:t>
      </w:r>
      <w:r w:rsidR="001F10DD">
        <w:t xml:space="preserve"> </w:t>
      </w:r>
      <w:r w:rsidR="001F10DD">
        <w:t>facilities backed up by a physical asset give rise to ownership</w:t>
      </w:r>
      <w:r w:rsidR="001F10DD">
        <w:t xml:space="preserve"> </w:t>
      </w:r>
      <w:r w:rsidR="001F10DD">
        <w:t>risk and thus increases operational risk by embedding a new</w:t>
      </w:r>
      <w:r w:rsidR="001F10DD">
        <w:t xml:space="preserve"> </w:t>
      </w:r>
      <w:r w:rsidR="001F10DD">
        <w:t>risk element that did not exist in the conventional banking</w:t>
      </w:r>
      <w:r w:rsidR="001F10DD">
        <w:t xml:space="preserve"> </w:t>
      </w:r>
      <w:bookmarkStart w:id="0" w:name="_GoBack"/>
      <w:bookmarkEnd w:id="0"/>
      <w:r w:rsidR="001F10DD">
        <w:t>business.</w:t>
      </w:r>
    </w:p>
    <w:p w14:paraId="467B1C99" w14:textId="7C04FCEF" w:rsidR="00895548" w:rsidRDefault="00895548" w:rsidP="0096251B"/>
    <w:p w14:paraId="6668577B" w14:textId="4BF0F0DC" w:rsidR="00895548" w:rsidRDefault="00895548" w:rsidP="0096251B"/>
    <w:p w14:paraId="75550654" w14:textId="77777777" w:rsidR="00895548" w:rsidRDefault="00895548" w:rsidP="0096251B"/>
    <w:p w14:paraId="40E2AEDB" w14:textId="2E991D69" w:rsidR="001639AA" w:rsidRDefault="006A30ED" w:rsidP="00697CBC">
      <w:r w:rsidRPr="00A941C8">
        <w:fldChar w:fldCharType="begin"/>
      </w:r>
      <w:r w:rsidRPr="00A941C8">
        <w:instrText xml:space="preserve"> ADDIN EN.CITE &lt;EndNote&gt;&lt;Cite&gt;&lt;Author&gt;Ahmad&lt;/Author&gt;&lt;Year&gt;2007&lt;/Year&gt;&lt;RecNum&gt;3&lt;/RecNum&gt;&lt;DisplayText&gt;(Ahmad &amp;amp; Hassan, 2007)&lt;/DisplayText&gt;&lt;record&gt;&lt;rec-number&gt;3&lt;/rec-number&gt;&lt;foreign-keys&gt;&lt;key app="EN" db-id="eta9paxxrevz92evwe7ppt51psrepd29edss" timestamp="1597572192"&gt;3&lt;/key&gt;&lt;/foreign-keys&gt;&lt;ref-type name="Journal Article"&gt;17&lt;/ref-type&gt;&lt;contributors&gt;&lt;authors&gt;&lt;author&gt;Ahmad, Abu Umar Faruq&lt;/author&gt;&lt;author&gt;Hassan, M Kabir&lt;/author&gt;&lt;/authors&gt;&lt;/contributors&gt;&lt;titles&gt;&lt;title&gt;Regulation and performance of Islamic banking in Bangladesh&lt;/title&gt;&lt;secondary-title&gt;Thunderbird International Business Review&lt;/secondary-title&gt;&lt;/titles&gt;&lt;periodical&gt;&lt;full-title&gt;Thunderbird International Business Review&lt;/full-title&gt;&lt;/periodical&gt;&lt;pages&gt;251-277&lt;/pages&gt;&lt;volume&gt;49&lt;/volume&gt;&lt;number&gt;2&lt;/number&gt;&lt;dates&gt;&lt;year&gt;2007&lt;/year&gt;&lt;/dates&gt;&lt;isbn&gt;1096-4762&lt;/isbn&gt;&lt;urls&gt;&lt;/urls&gt;&lt;/record&gt;&lt;/Cite&gt;&lt;/EndNote&gt;</w:instrText>
      </w:r>
      <w:r w:rsidRPr="00A941C8">
        <w:fldChar w:fldCharType="separate"/>
      </w:r>
      <w:r w:rsidRPr="00A941C8">
        <w:rPr>
          <w:noProof/>
        </w:rPr>
        <w:t>(Ahmad &amp; Hassan, 2007)</w:t>
      </w:r>
      <w:r w:rsidRPr="00A941C8">
        <w:fldChar w:fldCharType="end"/>
      </w:r>
      <w:r w:rsidRPr="00A941C8">
        <w:t xml:space="preserve"> test the liquidity positions of Islamic and conventional banks in Bangladesh </w:t>
      </w:r>
      <w:r w:rsidR="0096251B">
        <w:t>during the period from</w:t>
      </w:r>
      <w:r w:rsidRPr="00A941C8">
        <w:t xml:space="preserve"> 2003</w:t>
      </w:r>
      <w:r w:rsidR="0096251B">
        <w:t xml:space="preserve"> to </w:t>
      </w:r>
      <w:r w:rsidRPr="00A941C8">
        <w:t>2006.</w:t>
      </w:r>
      <w:r w:rsidR="00CD16E2">
        <w:t xml:space="preserve"> L</w:t>
      </w:r>
      <w:r w:rsidRPr="00A941C8">
        <w:t xml:space="preserve">ong term liquidity position and short-term liquidity position </w:t>
      </w:r>
      <w:r w:rsidR="00CD16E2">
        <w:t>are</w:t>
      </w:r>
      <w:r w:rsidRPr="00A941C8">
        <w:t xml:space="preserve"> analyzed by using regression model and </w:t>
      </w:r>
      <w:r w:rsidR="00CD16E2">
        <w:t>they find</w:t>
      </w:r>
      <w:r w:rsidRPr="00A941C8">
        <w:t xml:space="preserve"> that Islamic banks perform better than </w:t>
      </w:r>
      <w:r w:rsidR="0096251B">
        <w:t>conventional</w:t>
      </w:r>
      <w:r w:rsidRPr="00A941C8">
        <w:t xml:space="preserve"> banks. </w:t>
      </w:r>
      <w:r w:rsidRPr="00A941C8">
        <w:fldChar w:fldCharType="begin"/>
      </w:r>
      <w:r w:rsidRPr="00A941C8">
        <w:instrText xml:space="preserve"> ADDIN EN.CITE &lt;EndNote&gt;&lt;Cite&gt;&lt;Author&gt;Dinger&lt;/Author&gt;&lt;Year&gt;2009&lt;/Year&gt;&lt;RecNum&gt;4&lt;/RecNum&gt;&lt;DisplayText&gt;(Dinger, 2009)&lt;/DisplayText&gt;&lt;record&gt;&lt;rec-number&gt;4&lt;/rec-number&gt;&lt;foreign-keys&gt;&lt;key app="EN" db-id="eta9paxxrevz92evwe7ppt51psrepd29edss" timestamp="1597572524"&gt;4&lt;/key&gt;&lt;/foreign-keys&gt;&lt;ref-type name="Journal Article"&gt;17&lt;/ref-type&gt;&lt;contributors&gt;&lt;authors&gt;&lt;author&gt;Dinger, Valeriya&lt;/author&gt;&lt;/authors&gt;&lt;/contributors&gt;&lt;titles&gt;&lt;title&gt;Do foreign-owned banks affect banking system liquidity risk?&lt;/title&gt;&lt;secondary-title&gt;Journal of Comparative Economics&lt;/secondary-title&gt;&lt;/titles&gt;&lt;periodical&gt;&lt;full-title&gt;Journal of Comparative Economics&lt;/full-title&gt;&lt;/periodical&gt;&lt;pages&gt;647-657&lt;/pages&gt;&lt;volume&gt;37&lt;/volume&gt;&lt;number&gt;4&lt;/number&gt;&lt;dates&gt;&lt;year&gt;2009&lt;/year&gt;&lt;/dates&gt;&lt;isbn&gt;0147-5967&lt;/isbn&gt;&lt;urls&gt;&lt;/urls&gt;&lt;/record&gt;&lt;/Cite&gt;&lt;/EndNote&gt;</w:instrText>
      </w:r>
      <w:r w:rsidRPr="00A941C8">
        <w:fldChar w:fldCharType="separate"/>
      </w:r>
      <w:r w:rsidRPr="00A941C8">
        <w:rPr>
          <w:noProof/>
        </w:rPr>
        <w:t>(Dinger, 2009)</w:t>
      </w:r>
      <w:r w:rsidRPr="00A941C8">
        <w:fldChar w:fldCharType="end"/>
      </w:r>
      <w:r w:rsidRPr="00A941C8">
        <w:t xml:space="preserve"> suggests that in developing economies the risk of liquidity shortage is reduced due to the presence of international banks. </w:t>
      </w:r>
      <w:r w:rsidRPr="00A941C8">
        <w:fldChar w:fldCharType="begin"/>
      </w:r>
      <w:r w:rsidRPr="00A941C8">
        <w:instrText xml:space="preserve"> ADDIN EN.CITE &lt;EndNote&gt;&lt;Cite&gt;&lt;Author&gt;Islam&lt;/Author&gt;&lt;Year&gt;2016&lt;/Year&gt;&lt;RecNum&gt;5&lt;/RecNum&gt;&lt;DisplayText&gt;(Islam, Farooq, &amp;amp; Ahmad, 2016)&lt;/DisplayText&gt;&lt;record&gt;&lt;rec-number&gt;5&lt;/rec-number&gt;&lt;foreign-keys&gt;&lt;key app="EN" db-id="eta9paxxrevz92evwe7ppt51psrepd29edss" timestamp="1597573084"&gt;5&lt;/key&gt;&lt;/foreign-keys&gt;&lt;ref-type name="Journal Article"&gt;17&lt;/ref-type&gt;&lt;contributors&gt;&lt;authors&gt;&lt;author&gt;Islam, Amir&lt;/author&gt;&lt;author&gt;Farooq, Muhammad&lt;/author&gt;&lt;author&gt;Ahmad, Aqeel&lt;/author&gt;&lt;/authors&gt;&lt;/contributors&gt;&lt;titles&gt;&lt;title&gt;FACTORS AFFECTING LIQUIDITY POSITION OF ISLAMIC BANKS&lt;/title&gt;&lt;secondary-title&gt;City University Research Journal&lt;/secondary-title&gt;&lt;/titles&gt;&lt;periodical&gt;&lt;full-title&gt;City University Research Journal&lt;/full-title&gt;&lt;/periodical&gt;&lt;pages&gt;27-36&lt;/pages&gt;&lt;dates&gt;&lt;year&gt;2016&lt;/year&gt;&lt;/dates&gt;&lt;isbn&gt;2220-9174&lt;/isbn&gt;&lt;urls&gt;&lt;/urls&gt;&lt;/record&gt;&lt;/Cite&gt;&lt;/EndNote&gt;</w:instrText>
      </w:r>
      <w:r w:rsidRPr="00A941C8">
        <w:fldChar w:fldCharType="separate"/>
      </w:r>
      <w:r w:rsidRPr="00A941C8">
        <w:rPr>
          <w:noProof/>
        </w:rPr>
        <w:t>(Islam, Farooq, &amp; Ahmad, 2016)</w:t>
      </w:r>
      <w:r w:rsidRPr="00A941C8">
        <w:fldChar w:fldCharType="end"/>
      </w:r>
      <w:r w:rsidRPr="00A941C8">
        <w:t xml:space="preserve"> </w:t>
      </w:r>
      <w:r w:rsidRPr="00A941C8">
        <w:rPr>
          <w:color w:val="000000" w:themeColor="text1"/>
        </w:rPr>
        <w:t>conduct a comparative performance evaluation of conventional and Islamic banks in Pakistan</w:t>
      </w:r>
      <w:r w:rsidR="00197F08">
        <w:rPr>
          <w:color w:val="000000" w:themeColor="text1"/>
        </w:rPr>
        <w:t xml:space="preserve"> during the period from</w:t>
      </w:r>
      <w:r w:rsidRPr="00A941C8">
        <w:rPr>
          <w:color w:val="000000" w:themeColor="text1"/>
        </w:rPr>
        <w:t xml:space="preserve"> </w:t>
      </w:r>
      <w:r w:rsidR="00197F08" w:rsidRPr="00A941C8">
        <w:rPr>
          <w:color w:val="000000" w:themeColor="text1"/>
        </w:rPr>
        <w:t xml:space="preserve">2009 </w:t>
      </w:r>
      <w:r w:rsidR="00197F08">
        <w:rPr>
          <w:color w:val="000000" w:themeColor="text1"/>
        </w:rPr>
        <w:t>to</w:t>
      </w:r>
      <w:r w:rsidRPr="00A941C8">
        <w:rPr>
          <w:color w:val="000000" w:themeColor="text1"/>
        </w:rPr>
        <w:t xml:space="preserve"> 2016. The results show that conventional banks are more exposed to in liquidity </w:t>
      </w:r>
      <w:r w:rsidR="00197F08">
        <w:rPr>
          <w:color w:val="000000" w:themeColor="text1"/>
        </w:rPr>
        <w:t>risk</w:t>
      </w:r>
      <w:r w:rsidRPr="00A941C8">
        <w:rPr>
          <w:color w:val="000000" w:themeColor="text1"/>
        </w:rPr>
        <w:t xml:space="preserve">. </w:t>
      </w:r>
      <w:r w:rsidRPr="00A941C8">
        <w:rPr>
          <w:color w:val="000000" w:themeColor="text1"/>
        </w:rPr>
        <w:fldChar w:fldCharType="begin"/>
      </w:r>
      <w:r w:rsidRPr="00A941C8">
        <w:rPr>
          <w:color w:val="000000" w:themeColor="text1"/>
        </w:rPr>
        <w:instrText xml:space="preserve"> ADDIN EN.CITE &lt;EndNote&gt;&lt;Cite&gt;&lt;Author&gt;Ika&lt;/Author&gt;&lt;Year&gt;2011&lt;/Year&gt;&lt;RecNum&gt;6&lt;/RecNum&gt;&lt;DisplayText&gt;(Ika &amp;amp; Abdullah, 2011)&lt;/DisplayText&gt;&lt;record&gt;&lt;rec-number&gt;6&lt;/rec-number&gt;&lt;foreign-keys&gt;&lt;key app="EN" db-id="eta9paxxrevz92evwe7ppt51psrepd29edss" timestamp="1597573199"&gt;6&lt;/key&gt;&lt;/foreign-keys&gt;&lt;ref-type name="Journal Article"&gt;17&lt;/ref-type&gt;&lt;contributors&gt;&lt;authors&gt;&lt;author&gt;Ika, Siti Rochmah&lt;/author&gt;&lt;author&gt;Abdullah, Norhayati&lt;/author&gt;&lt;/authors&gt;&lt;/contributors&gt;&lt;titles&gt;&lt;title&gt;A comparative study of financial performance of Islamic banks and conventional banks in Indonesia&lt;/title&gt;&lt;secondary-title&gt;International Journal of Business and Social Science&lt;/secondary-title&gt;&lt;/titles&gt;&lt;periodical&gt;&lt;full-title&gt;International Journal of Business and Social Science&lt;/full-title&gt;&lt;/periodical&gt;&lt;volume&gt;2&lt;/volume&gt;&lt;number&gt;15&lt;/number&gt;&lt;dates&gt;&lt;year&gt;2011&lt;/year&gt;&lt;/dates&gt;&lt;isbn&gt;2219-1933&lt;/isbn&gt;&lt;urls&gt;&lt;/urls&gt;&lt;/record&gt;&lt;/Cite&gt;&lt;/EndNote&gt;</w:instrText>
      </w:r>
      <w:r w:rsidRPr="00A941C8">
        <w:rPr>
          <w:color w:val="000000" w:themeColor="text1"/>
        </w:rPr>
        <w:fldChar w:fldCharType="separate"/>
      </w:r>
      <w:r w:rsidRPr="00A941C8">
        <w:rPr>
          <w:noProof/>
          <w:color w:val="000000" w:themeColor="text1"/>
        </w:rPr>
        <w:t>(Ika &amp; Abdullah, 2011)</w:t>
      </w:r>
      <w:r w:rsidRPr="00A941C8">
        <w:rPr>
          <w:color w:val="000000" w:themeColor="text1"/>
        </w:rPr>
        <w:fldChar w:fldCharType="end"/>
      </w:r>
      <w:r w:rsidRPr="00A941C8">
        <w:rPr>
          <w:color w:val="000000" w:themeColor="text1"/>
        </w:rPr>
        <w:t xml:space="preserve"> compare Islamic and conventional banks in Indonesia </w:t>
      </w:r>
      <w:r w:rsidR="00197F08">
        <w:rPr>
          <w:color w:val="000000" w:themeColor="text1"/>
        </w:rPr>
        <w:t>during</w:t>
      </w:r>
      <w:r w:rsidRPr="00A941C8">
        <w:rPr>
          <w:color w:val="000000" w:themeColor="text1"/>
        </w:rPr>
        <w:t xml:space="preserve"> the period </w:t>
      </w:r>
      <w:r w:rsidR="00197F08">
        <w:rPr>
          <w:color w:val="000000" w:themeColor="text1"/>
        </w:rPr>
        <w:t xml:space="preserve">from </w:t>
      </w:r>
      <w:r w:rsidRPr="00A941C8">
        <w:rPr>
          <w:color w:val="000000" w:themeColor="text1"/>
        </w:rPr>
        <w:t>2000</w:t>
      </w:r>
      <w:r w:rsidR="00197F08">
        <w:rPr>
          <w:color w:val="000000" w:themeColor="text1"/>
        </w:rPr>
        <w:t xml:space="preserve"> to </w:t>
      </w:r>
      <w:r w:rsidRPr="00A941C8">
        <w:rPr>
          <w:color w:val="000000" w:themeColor="text1"/>
        </w:rPr>
        <w:t>2007</w:t>
      </w:r>
      <w:r w:rsidR="00197F08">
        <w:rPr>
          <w:color w:val="000000" w:themeColor="text1"/>
        </w:rPr>
        <w:t xml:space="preserve"> based on their </w:t>
      </w:r>
      <w:r w:rsidRPr="00A941C8">
        <w:rPr>
          <w:color w:val="000000" w:themeColor="text1"/>
        </w:rPr>
        <w:t xml:space="preserve">profitability, </w:t>
      </w:r>
      <w:r w:rsidRPr="00A941C8">
        <w:t xml:space="preserve">liquidity and credit capabilities. They conclude that Islamic banks are more liquid than traditional banks. </w:t>
      </w:r>
      <w:r w:rsidRPr="00A941C8">
        <w:fldChar w:fldCharType="begin"/>
      </w:r>
      <w:r>
        <w:instrText xml:space="preserve"> ADDIN EN.CITE &lt;EndNote&gt;&lt;Cite&gt;&lt;Author&gt;Akhtar&lt;/Author&gt;&lt;Year&gt;2011&lt;/Year&gt;&lt;RecNum&gt;7&lt;/RecNum&gt;&lt;DisplayText&gt;(Akhtar, Ali, &amp;amp; Sadaqat, 2011)&lt;/DisplayText&gt;&lt;record&gt;&lt;rec-number&gt;7&lt;/rec-number&gt;&lt;foreign-keys&gt;&lt;key app="EN" db-id="eta9paxxrevz92evwe7ppt51psrepd29edss" timestamp="1597573295"&gt;7&lt;/key&gt;&lt;/foreign-keys&gt;&lt;ref-type name="Journal Article"&gt;17&lt;/ref-type&gt;&lt;contributors&gt;&lt;authors&gt;&lt;author&gt;Akhtar, Muhammad Farhan&lt;/author&gt;&lt;author&gt;Ali, Khizer&lt;/author&gt;&lt;author&gt;Sadaqat, Shama&lt;/author&gt;&lt;/authors&gt;&lt;/contributors&gt;&lt;titles&gt;&lt;title&gt;Factors influencing the profitability of Islamic banks of Pakistan&lt;/title&gt;&lt;secondary-title&gt;International Research Journal of Finance and Economics&lt;/secondary-title&gt;&lt;/titles&gt;&lt;periodical&gt;&lt;full-title&gt;International Research Journal of Finance and Economics&lt;/full-title&gt;&lt;/periodical&gt;&lt;pages&gt;1-8&lt;/pages&gt;&lt;volume&gt;66&lt;/volume&gt;&lt;number&gt;66&lt;/number&gt;&lt;dates&gt;&lt;year&gt;2011&lt;/year&gt;&lt;/dates&gt;&lt;urls&gt;&lt;/urls&gt;&lt;/record&gt;&lt;/Cite&gt;&lt;/EndNote&gt;</w:instrText>
      </w:r>
      <w:r w:rsidRPr="00A941C8">
        <w:fldChar w:fldCharType="separate"/>
      </w:r>
      <w:r>
        <w:rPr>
          <w:noProof/>
        </w:rPr>
        <w:t xml:space="preserve">(Akhtar, Ali, </w:t>
      </w:r>
      <w:r>
        <w:rPr>
          <w:noProof/>
        </w:rPr>
        <w:lastRenderedPageBreak/>
        <w:t>&amp; Sadaqat, 2011)</w:t>
      </w:r>
      <w:r w:rsidRPr="00A941C8">
        <w:fldChar w:fldCharType="end"/>
      </w:r>
      <w:r w:rsidRPr="00A941C8">
        <w:t xml:space="preserve"> conclude that </w:t>
      </w:r>
      <w:r w:rsidR="002445D4">
        <w:t>conventional</w:t>
      </w:r>
      <w:r w:rsidRPr="00A941C8">
        <w:t xml:space="preserve"> banks in Pakistan are more inclined to finance long-term projects. The study emphasize</w:t>
      </w:r>
      <w:r w:rsidR="00452E52">
        <w:t xml:space="preserve"> </w:t>
      </w:r>
      <w:r w:rsidRPr="00A941C8">
        <w:t>that Islamic banks have a better profitability and liquidity risk management based on the superior performance of assets and returns</w:t>
      </w:r>
      <w:r w:rsidR="00697CBC">
        <w:t xml:space="preserve">. </w:t>
      </w:r>
    </w:p>
    <w:p w14:paraId="2C724CA3" w14:textId="2F39D172" w:rsidR="00F517EE" w:rsidRDefault="00F517EE" w:rsidP="00A64473">
      <w:r w:rsidRPr="00A941C8">
        <w:t xml:space="preserve">The number of studies conducted in Palestine is a rather limited. </w:t>
      </w:r>
      <w:r w:rsidRPr="00A941C8">
        <w:fldChar w:fldCharType="begin"/>
      </w:r>
      <w:r w:rsidRPr="00A941C8">
        <w:instrText xml:space="preserve"> ADDIN EN.CITE &lt;EndNote&gt;&lt;Cite&gt;&lt;Author&gt;Abdelkarim&lt;/Author&gt;&lt;Year&gt;2007&lt;/Year&gt;&lt;RecNum&gt;9&lt;/RecNum&gt;&lt;DisplayText&gt;(Abdelkarim &amp;amp; Burbar, 2007)&lt;/DisplayText&gt;&lt;record&gt;&lt;rec-number&gt;9&lt;/rec-number&gt;&lt;foreign-keys&gt;&lt;key app="EN" db-id="eta9paxxrevz92evwe7ppt51psrepd29edss" timestamp="1597577469"&gt;9&lt;/key&gt;&lt;/foreign-keys&gt;&lt;ref-type name="Journal Article"&gt;17&lt;/ref-type&gt;&lt;contributors&gt;&lt;authors&gt;&lt;author&gt;Abdelkarim, Naser&lt;/author&gt;&lt;author&gt;Burbar, Maisa&lt;/author&gt;&lt;/authors&gt;&lt;/contributors&gt;&lt;titles&gt;&lt;title&gt;How banks in Palestine manage financial risk&lt;/title&gt;&lt;secondary-title&gt;Jordan: Al-Zaytoonah University&lt;/secondary-title&gt;&lt;/titles&gt;&lt;periodical&gt;&lt;full-title&gt;Jordan: Al-Zaytoonah University&lt;/full-title&gt;&lt;/periodical&gt;&lt;dates&gt;&lt;year&gt;2007&lt;/year&gt;&lt;/dates&gt;&lt;urls&gt;&lt;/urls&gt;&lt;/record&gt;&lt;/Cite&gt;&lt;/EndNote&gt;</w:instrText>
      </w:r>
      <w:r w:rsidRPr="00A941C8">
        <w:fldChar w:fldCharType="separate"/>
      </w:r>
      <w:r w:rsidRPr="00A941C8">
        <w:rPr>
          <w:noProof/>
        </w:rPr>
        <w:t>(Abdelkarim &amp; Burbar, 2007)</w:t>
      </w:r>
      <w:r w:rsidRPr="00A941C8">
        <w:fldChar w:fldCharType="end"/>
      </w:r>
      <w:r w:rsidRPr="00A941C8">
        <w:rPr>
          <w:rFonts w:ascii="Arial" w:eastAsia="Times New Roman" w:hAnsi="Arial"/>
        </w:rPr>
        <w:t xml:space="preserve"> </w:t>
      </w:r>
      <w:r w:rsidRPr="00A941C8">
        <w:rPr>
          <w:rFonts w:eastAsia="Times New Roman"/>
        </w:rPr>
        <w:t>focus on</w:t>
      </w:r>
      <w:r w:rsidRPr="00A941C8">
        <w:t xml:space="preserve"> concepts in risk management and financial risk management in Palestinian commercial and Islamic banks. Using field investigation through reciprocal interviews, the study shows</w:t>
      </w:r>
      <w:r w:rsidR="00BB5FF1">
        <w:t xml:space="preserve"> that b</w:t>
      </w:r>
      <w:r w:rsidRPr="00A941C8">
        <w:t>anks in Palestine have poor risk management system for monitoring, measuring, and mitigating risks.</w:t>
      </w:r>
      <w:r w:rsidR="00BB5FF1">
        <w:t xml:space="preserve"> In addition, they find that b</w:t>
      </w:r>
      <w:r w:rsidRPr="00A941C8">
        <w:t>anks lack adequate instruments for managing the risks faced.</w:t>
      </w:r>
    </w:p>
    <w:p w14:paraId="0E4BD03B" w14:textId="77777777" w:rsidR="009A76BD" w:rsidRPr="004959B8" w:rsidRDefault="009A76BD" w:rsidP="009A76BD">
      <w:pPr>
        <w:spacing w:after="200"/>
      </w:pPr>
      <w:r w:rsidRPr="004959B8">
        <w:t>As of the date of writing this paper, 14 Banks are operating in Palestine (11 conventional and three Islamic banks). As of December 31, 2018, the total assets of the Palestinian banking sector amounts to US$16.1 bln. The amount of facilities provided amount to US$ 8.3 bln, which represents 52% of the total assets. The total deposits of the banking sector reached US$12.8bln at the end of 2018.</w:t>
      </w:r>
      <w:r>
        <w:t xml:space="preserve"> The banking sector represents 99.06% of the country’s gross domestic product (GDP) as of the end of 2018.</w:t>
      </w:r>
    </w:p>
    <w:p w14:paraId="47EAB52D" w14:textId="3B0E1FE7" w:rsidR="009A76BD" w:rsidRDefault="00A64473" w:rsidP="0081331B">
      <w:pPr>
        <w:spacing w:after="200"/>
      </w:pPr>
      <w:r>
        <w:t xml:space="preserve">Liquidity risk management </w:t>
      </w:r>
      <w:r w:rsidR="008D6B09">
        <w:t xml:space="preserve">is one of the main risks that banks needs to manage properly in order to guarantee their profitability, growth and survivals. Due to structural </w:t>
      </w:r>
      <w:r w:rsidR="000B22D2">
        <w:t>differences</w:t>
      </w:r>
      <w:r w:rsidR="008D6B09">
        <w:t xml:space="preserve"> in </w:t>
      </w:r>
      <w:r w:rsidR="00723A11">
        <w:t xml:space="preserve">their business </w:t>
      </w:r>
      <w:r w:rsidR="00723A11" w:rsidRPr="004959B8">
        <w:t xml:space="preserve">models, this paper aims to study the different characteristics of the liquidity risk management and </w:t>
      </w:r>
      <w:r w:rsidR="000B22D2" w:rsidRPr="004959B8">
        <w:t xml:space="preserve">compare the liquidity risk management between </w:t>
      </w:r>
      <w:r w:rsidR="00723A11" w:rsidRPr="004959B8">
        <w:t xml:space="preserve">Islamic banks and </w:t>
      </w:r>
      <w:r w:rsidR="0002522D" w:rsidRPr="004959B8">
        <w:t>conventional banks operating in Palestine.</w:t>
      </w:r>
      <w:r w:rsidR="00F648DC">
        <w:t xml:space="preserve"> This study constitutes the first </w:t>
      </w:r>
      <w:r w:rsidR="0056104A">
        <w:t xml:space="preserve">paper to compare the liquidity risk management between </w:t>
      </w:r>
      <w:r w:rsidR="0081331B">
        <w:t xml:space="preserve">conventional and Islamic banks operating in Palestine using a long data series from 2009 to 2018. </w:t>
      </w:r>
    </w:p>
    <w:p w14:paraId="422C0437" w14:textId="50CC6D5F" w:rsidR="009A76BD" w:rsidRDefault="009A76BD" w:rsidP="00C752B0">
      <w:pPr>
        <w:spacing w:after="200"/>
      </w:pPr>
      <w:r>
        <w:t>This paper is organized as follows</w:t>
      </w:r>
      <w:r w:rsidR="0056104A">
        <w:t>:</w:t>
      </w:r>
      <w:r>
        <w:t xml:space="preserve"> In the next section we provide a background of the Palestinian Banking sector. The third section “Literature Review” discusses the theoretical framework, previous studies and the conceptual framework. The fourth section elaborates on the methodology used in this paper including data and configuration of the quantitative models used. The fifth section discuss the results and provide recommendations for future research. </w:t>
      </w:r>
    </w:p>
    <w:p w14:paraId="27430E45" w14:textId="75746797" w:rsidR="00F908EF" w:rsidRDefault="00F908EF" w:rsidP="002B430C">
      <w:pPr>
        <w:pStyle w:val="Heading2"/>
      </w:pPr>
      <w:r>
        <w:t xml:space="preserve">Banking Landscape in Palestine </w:t>
      </w:r>
    </w:p>
    <w:p w14:paraId="0DB6F356" w14:textId="3A5A67D4" w:rsidR="00F908EF" w:rsidRDefault="0081331B" w:rsidP="00323894">
      <w:r>
        <w:t xml:space="preserve">Before 1994, three banks serviced the financial needs of Palestinian people (two Israeli bank and one Jordan Bank). </w:t>
      </w:r>
      <w:r w:rsidR="003D66E1">
        <w:t>This led to low financing being available</w:t>
      </w:r>
      <w:r w:rsidR="009F421B">
        <w:t xml:space="preserve"> to Palestinian people and under </w:t>
      </w:r>
      <w:r w:rsidR="009F421B">
        <w:lastRenderedPageBreak/>
        <w:t>banking of the economy</w:t>
      </w:r>
      <w:r w:rsidR="003D66E1">
        <w:t xml:space="preserve">. </w:t>
      </w:r>
      <w:r w:rsidR="00F517EE">
        <w:t>After Paris Protocol in 1994, which allow</w:t>
      </w:r>
      <w:r w:rsidR="003D66E1">
        <w:t>s</w:t>
      </w:r>
      <w:r w:rsidR="00F517EE">
        <w:t xml:space="preserve"> the Palestine Authority</w:t>
      </w:r>
      <w:r w:rsidR="003D66E1">
        <w:t xml:space="preserve"> (PA)</w:t>
      </w:r>
      <w:r w:rsidR="00F517EE">
        <w:t xml:space="preserve"> </w:t>
      </w:r>
      <w:r w:rsidR="00710B68">
        <w:t>to</w:t>
      </w:r>
      <w:r w:rsidR="009F421B">
        <w:t xml:space="preserve"> establish </w:t>
      </w:r>
      <w:r w:rsidR="00710B68">
        <w:t xml:space="preserve">the </w:t>
      </w:r>
      <w:r w:rsidR="009F421B">
        <w:t xml:space="preserve">Palestine Monetary Authority (PMA) to be </w:t>
      </w:r>
      <w:r w:rsidR="00710B68">
        <w:t xml:space="preserve">responsible of chartering and supervising the banking sector. </w:t>
      </w:r>
      <w:r w:rsidR="00323894">
        <w:t xml:space="preserve">This resulted in increasing the number of </w:t>
      </w:r>
      <w:r w:rsidR="00E15142">
        <w:t xml:space="preserve">banks </w:t>
      </w:r>
      <w:r w:rsidR="00323894">
        <w:t>chartered</w:t>
      </w:r>
      <w:r w:rsidR="00E15142">
        <w:t xml:space="preserve"> </w:t>
      </w:r>
      <w:r w:rsidR="00323894">
        <w:t xml:space="preserve">to operate in Palestine both local </w:t>
      </w:r>
      <w:r w:rsidR="00E15142">
        <w:t xml:space="preserve">Palestinian </w:t>
      </w:r>
      <w:r w:rsidR="00323894">
        <w:t>banks and regional bank</w:t>
      </w:r>
      <w:r w:rsidR="00E15142">
        <w:t>s</w:t>
      </w:r>
      <w:r w:rsidR="00323894">
        <w:t xml:space="preserve"> t</w:t>
      </w:r>
      <w:r w:rsidR="003D66E1">
        <w:t xml:space="preserve">o reach 21 </w:t>
      </w:r>
      <w:r w:rsidR="000D1168">
        <w:t>banks</w:t>
      </w:r>
      <w:r w:rsidR="003D66E1">
        <w:t xml:space="preserve"> at the end of 2007. </w:t>
      </w:r>
    </w:p>
    <w:p w14:paraId="63B4DF1B" w14:textId="77777777" w:rsidR="00317998" w:rsidRDefault="00317998" w:rsidP="00317998">
      <w:pPr>
        <w:rPr>
          <w:rFonts w:eastAsia="Times New Roman" w:cs="Times New Roman"/>
          <w:lang w:val="en"/>
        </w:rPr>
      </w:pPr>
      <w:r>
        <w:rPr>
          <w:rFonts w:eastAsia="Times New Roman" w:cs="Times New Roman"/>
          <w:lang w:val="en"/>
        </w:rPr>
        <w:t xml:space="preserve">The PMA has issued the Banking Law no. 9 of 2010 to regulated the workings of both conventional and Islamic banks. </w:t>
      </w:r>
      <w:r w:rsidRPr="00E15142">
        <w:rPr>
          <w:rFonts w:eastAsia="Times New Roman" w:cs="Times New Roman"/>
          <w:lang w:val="en"/>
        </w:rPr>
        <w:t xml:space="preserve">PMA obliges banks to follow international standards set by </w:t>
      </w:r>
      <w:r>
        <w:rPr>
          <w:rFonts w:eastAsia="Times New Roman" w:cs="Times New Roman"/>
          <w:lang w:val="en"/>
        </w:rPr>
        <w:t>Basel Committee on Banking Supervision (BCBS)</w:t>
      </w:r>
      <w:r w:rsidRPr="00E15142">
        <w:rPr>
          <w:rFonts w:eastAsia="Times New Roman" w:cs="Times New Roman"/>
          <w:lang w:val="en"/>
        </w:rPr>
        <w:t xml:space="preserve"> </w:t>
      </w:r>
      <w:r>
        <w:rPr>
          <w:rFonts w:eastAsia="Times New Roman" w:cs="Times New Roman"/>
          <w:lang w:val="en"/>
        </w:rPr>
        <w:t xml:space="preserve">known as Basel Accord, </w:t>
      </w:r>
      <w:r w:rsidRPr="00E15142">
        <w:rPr>
          <w:rFonts w:eastAsia="Times New Roman" w:cs="Times New Roman"/>
          <w:lang w:val="en"/>
        </w:rPr>
        <w:t xml:space="preserve">which are designed to increase the safety </w:t>
      </w:r>
      <w:r>
        <w:rPr>
          <w:rFonts w:eastAsia="Times New Roman" w:cs="Times New Roman"/>
          <w:lang w:val="en"/>
        </w:rPr>
        <w:t xml:space="preserve">and soundness </w:t>
      </w:r>
      <w:r w:rsidRPr="00E15142">
        <w:rPr>
          <w:rFonts w:eastAsia="Times New Roman" w:cs="Times New Roman"/>
          <w:lang w:val="en"/>
        </w:rPr>
        <w:t>of the</w:t>
      </w:r>
      <w:r>
        <w:rPr>
          <w:rFonts w:eastAsia="Times New Roman" w:cs="Times New Roman"/>
          <w:lang w:val="en"/>
        </w:rPr>
        <w:t xml:space="preserve"> </w:t>
      </w:r>
      <w:r w:rsidRPr="00E15142">
        <w:rPr>
          <w:rFonts w:eastAsia="Times New Roman" w:cs="Times New Roman"/>
          <w:lang w:val="en"/>
        </w:rPr>
        <w:t>international banking system to cope with potential risks</w:t>
      </w:r>
      <w:r>
        <w:rPr>
          <w:rFonts w:eastAsia="Times New Roman" w:cs="Times New Roman"/>
          <w:lang w:val="en"/>
        </w:rPr>
        <w:t>.</w:t>
      </w:r>
    </w:p>
    <w:p w14:paraId="3CA2FC1E" w14:textId="634EF759" w:rsidR="009E67C3" w:rsidRDefault="003124CC" w:rsidP="00E15142">
      <w:pPr>
        <w:rPr>
          <w:rFonts w:eastAsia="Times New Roman" w:cs="Times New Roman"/>
          <w:lang w:val="en"/>
        </w:rPr>
      </w:pPr>
      <w:r>
        <w:rPr>
          <w:rFonts w:eastAsia="Times New Roman" w:cs="Times New Roman"/>
          <w:lang w:val="en"/>
        </w:rPr>
        <w:t xml:space="preserve">The banking industry has gone into a consolidation phase due to the requirement of the PMA to </w:t>
      </w:r>
      <w:r w:rsidR="006341D7">
        <w:rPr>
          <w:rFonts w:eastAsia="Times New Roman" w:cs="Times New Roman"/>
          <w:lang w:val="en"/>
        </w:rPr>
        <w:t xml:space="preserve">increase </w:t>
      </w:r>
      <w:r w:rsidR="004A7E35">
        <w:rPr>
          <w:rFonts w:eastAsia="Times New Roman" w:cs="Times New Roman"/>
          <w:lang w:val="en"/>
        </w:rPr>
        <w:t>the paid in</w:t>
      </w:r>
      <w:r>
        <w:rPr>
          <w:rFonts w:eastAsia="Times New Roman" w:cs="Times New Roman"/>
          <w:lang w:val="en"/>
        </w:rPr>
        <w:t xml:space="preserve"> capital of</w:t>
      </w:r>
      <w:r w:rsidR="004A7E35">
        <w:rPr>
          <w:rFonts w:eastAsia="Times New Roman" w:cs="Times New Roman"/>
          <w:lang w:val="en"/>
        </w:rPr>
        <w:t xml:space="preserve"> Banks operating in Palestine to</w:t>
      </w:r>
      <w:r>
        <w:rPr>
          <w:rFonts w:eastAsia="Times New Roman" w:cs="Times New Roman"/>
          <w:lang w:val="en"/>
        </w:rPr>
        <w:t xml:space="preserve"> US$75mn</w:t>
      </w:r>
      <w:r w:rsidR="006341D7">
        <w:rPr>
          <w:rFonts w:eastAsia="Times New Roman" w:cs="Times New Roman"/>
          <w:lang w:val="en"/>
        </w:rPr>
        <w:t>.</w:t>
      </w:r>
      <w:r w:rsidR="00EE1CC5">
        <w:rPr>
          <w:rFonts w:eastAsia="Times New Roman" w:cs="Times New Roman"/>
          <w:lang w:val="en"/>
        </w:rPr>
        <w:t xml:space="preserve"> The </w:t>
      </w:r>
      <w:r w:rsidR="00BC0D1F">
        <w:rPr>
          <w:rFonts w:eastAsia="Times New Roman" w:cs="Times New Roman"/>
          <w:lang w:val="en"/>
        </w:rPr>
        <w:t xml:space="preserve">current </w:t>
      </w:r>
      <w:r w:rsidR="00EE1CC5">
        <w:rPr>
          <w:rFonts w:eastAsia="Times New Roman" w:cs="Times New Roman"/>
          <w:lang w:val="en"/>
        </w:rPr>
        <w:t xml:space="preserve">number of banks </w:t>
      </w:r>
      <w:r w:rsidR="00BC0D1F">
        <w:rPr>
          <w:rFonts w:eastAsia="Times New Roman" w:cs="Times New Roman"/>
          <w:lang w:val="en"/>
        </w:rPr>
        <w:t>is</w:t>
      </w:r>
      <w:r w:rsidR="00EE1CC5">
        <w:rPr>
          <w:rFonts w:eastAsia="Times New Roman" w:cs="Times New Roman"/>
          <w:lang w:val="en"/>
        </w:rPr>
        <w:t xml:space="preserve"> to 14 banks declin</w:t>
      </w:r>
      <w:r w:rsidR="00BC0D1F">
        <w:rPr>
          <w:rFonts w:eastAsia="Times New Roman" w:cs="Times New Roman"/>
          <w:lang w:val="en"/>
        </w:rPr>
        <w:t>ing</w:t>
      </w:r>
      <w:r w:rsidR="00EE1CC5">
        <w:rPr>
          <w:rFonts w:eastAsia="Times New Roman" w:cs="Times New Roman"/>
          <w:lang w:val="en"/>
        </w:rPr>
        <w:t xml:space="preserve"> from 21 as of 2007. The </w:t>
      </w:r>
      <w:r w:rsidR="00275413">
        <w:rPr>
          <w:rFonts w:eastAsia="Times New Roman" w:cs="Times New Roman"/>
          <w:lang w:val="en"/>
        </w:rPr>
        <w:t>latest</w:t>
      </w:r>
      <w:r w:rsidR="00EE1CC5">
        <w:rPr>
          <w:rFonts w:eastAsia="Times New Roman" w:cs="Times New Roman"/>
          <w:lang w:val="en"/>
        </w:rPr>
        <w:t xml:space="preserve"> acquisition </w:t>
      </w:r>
      <w:r w:rsidR="001060ED">
        <w:rPr>
          <w:rFonts w:eastAsia="Times New Roman" w:cs="Times New Roman"/>
          <w:lang w:val="en"/>
        </w:rPr>
        <w:t>occurred</w:t>
      </w:r>
      <w:r w:rsidR="00EE1CC5">
        <w:rPr>
          <w:rFonts w:eastAsia="Times New Roman" w:cs="Times New Roman"/>
          <w:lang w:val="en"/>
        </w:rPr>
        <w:t xml:space="preserve"> in 2019 when a local bank, the National Bank (TNB) acquired the </w:t>
      </w:r>
      <w:r w:rsidR="00FE047D">
        <w:rPr>
          <w:rFonts w:eastAsia="Times New Roman" w:cs="Times New Roman"/>
          <w:lang w:val="en"/>
        </w:rPr>
        <w:t>Jordan</w:t>
      </w:r>
      <w:r w:rsidR="00EE1CC5">
        <w:rPr>
          <w:rFonts w:eastAsia="Times New Roman" w:cs="Times New Roman"/>
          <w:lang w:val="en"/>
        </w:rPr>
        <w:t xml:space="preserve"> </w:t>
      </w:r>
      <w:r w:rsidR="00275413">
        <w:rPr>
          <w:rFonts w:eastAsia="Times New Roman" w:cs="Times New Roman"/>
          <w:lang w:val="en"/>
        </w:rPr>
        <w:t xml:space="preserve">Commercial Bank; a Jordanian Bank. </w:t>
      </w:r>
    </w:p>
    <w:p w14:paraId="2201060E" w14:textId="77777777" w:rsidR="00581995" w:rsidRDefault="00581995" w:rsidP="00E15142">
      <w:pPr>
        <w:rPr>
          <w:rFonts w:eastAsia="Times New Roman" w:cs="Times New Roman"/>
          <w:lang w:val="en"/>
        </w:rPr>
      </w:pPr>
    </w:p>
    <w:p w14:paraId="77E5F431" w14:textId="498CC16C" w:rsidR="009E67C3" w:rsidRPr="009E67C3" w:rsidRDefault="009E67C3" w:rsidP="009E67C3">
      <w:pPr>
        <w:rPr>
          <w:lang w:val="en"/>
        </w:rPr>
      </w:pPr>
      <w:r w:rsidRPr="009E67C3">
        <w:rPr>
          <w:lang w:val="en"/>
        </w:rPr>
        <w:fldChar w:fldCharType="begin"/>
      </w:r>
      <w:r w:rsidRPr="009E67C3">
        <w:rPr>
          <w:lang w:val="en"/>
        </w:rPr>
        <w:instrText xml:space="preserve"> REF _Ref49189319 \h  \* MERGEFORMAT </w:instrText>
      </w:r>
      <w:r w:rsidRPr="009E67C3">
        <w:rPr>
          <w:lang w:val="en"/>
        </w:rPr>
      </w:r>
      <w:r w:rsidRPr="009E67C3">
        <w:rPr>
          <w:lang w:val="en"/>
        </w:rPr>
        <w:fldChar w:fldCharType="separate"/>
      </w:r>
      <w:r w:rsidRPr="009E67C3">
        <w:t xml:space="preserve">Table </w:t>
      </w:r>
      <w:r w:rsidRPr="009E67C3">
        <w:rPr>
          <w:noProof/>
        </w:rPr>
        <w:t>1</w:t>
      </w:r>
      <w:r w:rsidRPr="009E67C3">
        <w:rPr>
          <w:lang w:val="en"/>
        </w:rPr>
        <w:fldChar w:fldCharType="end"/>
      </w:r>
      <w:r>
        <w:rPr>
          <w:lang w:val="en"/>
        </w:rPr>
        <w:t xml:space="preserve"> highlights the time series of four main key performance indicators (KPIs) of the banking industry. </w:t>
      </w:r>
      <w:r w:rsidR="002E50D2">
        <w:rPr>
          <w:lang w:val="en"/>
        </w:rPr>
        <w:t xml:space="preserve">The </w:t>
      </w:r>
      <w:r w:rsidR="00EF7AB2">
        <w:rPr>
          <w:lang w:val="en"/>
        </w:rPr>
        <w:t>consolidated</w:t>
      </w:r>
      <w:r w:rsidR="002E50D2">
        <w:rPr>
          <w:lang w:val="en"/>
        </w:rPr>
        <w:t xml:space="preserve"> banking facilities (loans) </w:t>
      </w:r>
      <w:r w:rsidR="00EF7AB2">
        <w:rPr>
          <w:lang w:val="en"/>
        </w:rPr>
        <w:t>have grown at a compound annual growth rate (CAGR) of 1</w:t>
      </w:r>
      <w:r w:rsidR="009519F0">
        <w:rPr>
          <w:lang w:val="en"/>
        </w:rPr>
        <w:t>7</w:t>
      </w:r>
      <w:r w:rsidR="00EF7AB2">
        <w:rPr>
          <w:lang w:val="en"/>
        </w:rPr>
        <w:t>% during the study period</w:t>
      </w:r>
      <w:r w:rsidR="00256046">
        <w:rPr>
          <w:lang w:val="en"/>
        </w:rPr>
        <w:t xml:space="preserve"> t</w:t>
      </w:r>
      <w:r w:rsidR="00EF7AB2">
        <w:rPr>
          <w:lang w:val="en"/>
        </w:rPr>
        <w:t>o stand at US$</w:t>
      </w:r>
      <w:r w:rsidR="00D7298F">
        <w:rPr>
          <w:lang w:val="en"/>
        </w:rPr>
        <w:t>8.</w:t>
      </w:r>
      <w:r w:rsidR="009519F0">
        <w:rPr>
          <w:lang w:val="en"/>
        </w:rPr>
        <w:t>35</w:t>
      </w:r>
      <w:r w:rsidR="00EF7AB2">
        <w:rPr>
          <w:lang w:val="en"/>
        </w:rPr>
        <w:t>bln at the end of 201</w:t>
      </w:r>
      <w:r w:rsidR="009519F0">
        <w:rPr>
          <w:lang w:val="en"/>
        </w:rPr>
        <w:t>8</w:t>
      </w:r>
      <w:r w:rsidR="00EF7AB2">
        <w:rPr>
          <w:lang w:val="en"/>
        </w:rPr>
        <w:t xml:space="preserve">. </w:t>
      </w:r>
      <w:r w:rsidR="00D7298F">
        <w:rPr>
          <w:lang w:val="en"/>
        </w:rPr>
        <w:t xml:space="preserve">On the other hand, the consolidated deposits have grown at a CAGR of </w:t>
      </w:r>
      <w:r w:rsidR="009519F0">
        <w:rPr>
          <w:lang w:val="en"/>
        </w:rPr>
        <w:t>7</w:t>
      </w:r>
      <w:r w:rsidR="00D7298F">
        <w:rPr>
          <w:lang w:val="en"/>
        </w:rPr>
        <w:t>% to stand at US$1</w:t>
      </w:r>
      <w:r w:rsidR="009519F0">
        <w:rPr>
          <w:lang w:val="en"/>
        </w:rPr>
        <w:t>2</w:t>
      </w:r>
      <w:r w:rsidR="00D7298F">
        <w:rPr>
          <w:lang w:val="en"/>
        </w:rPr>
        <w:t>.4bln</w:t>
      </w:r>
      <w:r w:rsidR="00D269C6">
        <w:rPr>
          <w:lang w:val="en"/>
        </w:rPr>
        <w:t>. Over the study period the average deposits to assets is 79</w:t>
      </w:r>
      <w:r w:rsidR="00065089">
        <w:rPr>
          <w:lang w:val="en"/>
        </w:rPr>
        <w:t>%, the average loans to deposits is 5</w:t>
      </w:r>
      <w:r w:rsidR="009519F0">
        <w:rPr>
          <w:lang w:val="en"/>
        </w:rPr>
        <w:t>3</w:t>
      </w:r>
      <w:r w:rsidR="00065089">
        <w:rPr>
          <w:lang w:val="en"/>
        </w:rPr>
        <w:t>% and the average loans to assets is 4</w:t>
      </w:r>
      <w:r w:rsidR="009519F0">
        <w:rPr>
          <w:lang w:val="en"/>
        </w:rPr>
        <w:t>1</w:t>
      </w:r>
      <w:r w:rsidR="00065089">
        <w:rPr>
          <w:lang w:val="en"/>
        </w:rPr>
        <w:t xml:space="preserve">%. </w:t>
      </w:r>
    </w:p>
    <w:p w14:paraId="6B9004B2" w14:textId="2805B6F8" w:rsidR="009E67C3" w:rsidRPr="001A5B86" w:rsidRDefault="009E67C3" w:rsidP="001A5B86">
      <w:pPr>
        <w:pStyle w:val="Caption"/>
        <w:spacing w:after="0"/>
        <w:rPr>
          <w:rFonts w:eastAsia="Times New Roman" w:cs="Times New Roman"/>
          <w:b/>
          <w:bCs/>
          <w:i w:val="0"/>
          <w:iCs w:val="0"/>
          <w:color w:val="auto"/>
          <w:sz w:val="20"/>
          <w:szCs w:val="20"/>
          <w:lang w:val="en"/>
        </w:rPr>
      </w:pPr>
      <w:bookmarkStart w:id="1" w:name="_Ref49189319"/>
      <w:r w:rsidRPr="001A5B86">
        <w:rPr>
          <w:b/>
          <w:bCs/>
          <w:i w:val="0"/>
          <w:iCs w:val="0"/>
          <w:color w:val="auto"/>
          <w:sz w:val="20"/>
          <w:szCs w:val="20"/>
        </w:rPr>
        <w:t xml:space="preserve">Table </w:t>
      </w:r>
      <w:r w:rsidRPr="001A5B86">
        <w:rPr>
          <w:b/>
          <w:bCs/>
          <w:i w:val="0"/>
          <w:iCs w:val="0"/>
          <w:color w:val="auto"/>
          <w:sz w:val="20"/>
          <w:szCs w:val="20"/>
        </w:rPr>
        <w:fldChar w:fldCharType="begin"/>
      </w:r>
      <w:r w:rsidRPr="001A5B86">
        <w:rPr>
          <w:b/>
          <w:bCs/>
          <w:i w:val="0"/>
          <w:iCs w:val="0"/>
          <w:color w:val="auto"/>
          <w:sz w:val="20"/>
          <w:szCs w:val="20"/>
        </w:rPr>
        <w:instrText xml:space="preserve"> SEQ Table \* ARABIC </w:instrText>
      </w:r>
      <w:r w:rsidRPr="001A5B86">
        <w:rPr>
          <w:b/>
          <w:bCs/>
          <w:i w:val="0"/>
          <w:iCs w:val="0"/>
          <w:color w:val="auto"/>
          <w:sz w:val="20"/>
          <w:szCs w:val="20"/>
        </w:rPr>
        <w:fldChar w:fldCharType="separate"/>
      </w:r>
      <w:r w:rsidR="00166E8B">
        <w:rPr>
          <w:b/>
          <w:bCs/>
          <w:i w:val="0"/>
          <w:iCs w:val="0"/>
          <w:noProof/>
          <w:color w:val="auto"/>
          <w:sz w:val="20"/>
          <w:szCs w:val="20"/>
        </w:rPr>
        <w:t>1</w:t>
      </w:r>
      <w:r w:rsidRPr="001A5B86">
        <w:rPr>
          <w:b/>
          <w:bCs/>
          <w:i w:val="0"/>
          <w:iCs w:val="0"/>
          <w:color w:val="auto"/>
          <w:sz w:val="20"/>
          <w:szCs w:val="20"/>
        </w:rPr>
        <w:fldChar w:fldCharType="end"/>
      </w:r>
      <w:bookmarkEnd w:id="1"/>
      <w:r w:rsidRPr="001A5B86">
        <w:rPr>
          <w:b/>
          <w:bCs/>
          <w:i w:val="0"/>
          <w:iCs w:val="0"/>
          <w:color w:val="auto"/>
          <w:sz w:val="20"/>
          <w:szCs w:val="20"/>
        </w:rPr>
        <w:t>: Main Banking Consolidated KPIs</w:t>
      </w:r>
    </w:p>
    <w:tbl>
      <w:tblPr>
        <w:tblStyle w:val="TableGrid"/>
        <w:tblW w:w="0" w:type="auto"/>
        <w:tblLook w:val="04A0" w:firstRow="1" w:lastRow="0" w:firstColumn="1" w:lastColumn="0" w:noHBand="0" w:noVBand="1"/>
      </w:tblPr>
      <w:tblGrid>
        <w:gridCol w:w="1514"/>
        <w:gridCol w:w="1514"/>
        <w:gridCol w:w="1571"/>
        <w:gridCol w:w="1665"/>
        <w:gridCol w:w="1514"/>
      </w:tblGrid>
      <w:tr w:rsidR="0014374B" w:rsidRPr="0014374B" w14:paraId="3B1B05E2" w14:textId="77777777" w:rsidTr="0014374B">
        <w:trPr>
          <w:trHeight w:val="314"/>
        </w:trPr>
        <w:tc>
          <w:tcPr>
            <w:tcW w:w="1514" w:type="dxa"/>
            <w:noWrap/>
            <w:hideMark/>
          </w:tcPr>
          <w:p w14:paraId="4012A2B8" w14:textId="77777777" w:rsidR="0014374B" w:rsidRPr="0014374B" w:rsidRDefault="0014374B" w:rsidP="0014374B">
            <w:pPr>
              <w:rPr>
                <w:rFonts w:asciiTheme="majorBidi" w:eastAsia="Times New Roman" w:hAnsiTheme="majorBidi" w:cstheme="majorBidi"/>
                <w:b/>
                <w:bCs/>
                <w:i/>
                <w:iCs/>
                <w:szCs w:val="24"/>
              </w:rPr>
            </w:pPr>
            <w:r w:rsidRPr="0014374B">
              <w:rPr>
                <w:rFonts w:asciiTheme="majorBidi" w:eastAsia="Times New Roman" w:hAnsiTheme="majorBidi" w:cstheme="majorBidi"/>
                <w:b/>
                <w:bCs/>
                <w:i/>
                <w:iCs/>
                <w:szCs w:val="24"/>
              </w:rPr>
              <w:t>Year</w:t>
            </w:r>
          </w:p>
        </w:tc>
        <w:tc>
          <w:tcPr>
            <w:tcW w:w="1514" w:type="dxa"/>
            <w:noWrap/>
            <w:hideMark/>
          </w:tcPr>
          <w:p w14:paraId="25F931A1"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Loans</w:t>
            </w:r>
          </w:p>
        </w:tc>
        <w:tc>
          <w:tcPr>
            <w:tcW w:w="1571" w:type="dxa"/>
            <w:noWrap/>
            <w:hideMark/>
          </w:tcPr>
          <w:p w14:paraId="63F1BD96"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Assets</w:t>
            </w:r>
          </w:p>
        </w:tc>
        <w:tc>
          <w:tcPr>
            <w:tcW w:w="1665" w:type="dxa"/>
            <w:noWrap/>
            <w:hideMark/>
          </w:tcPr>
          <w:p w14:paraId="4C030400"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Deposits</w:t>
            </w:r>
          </w:p>
        </w:tc>
        <w:tc>
          <w:tcPr>
            <w:tcW w:w="1514" w:type="dxa"/>
            <w:noWrap/>
            <w:hideMark/>
          </w:tcPr>
          <w:p w14:paraId="2ABD4C0B"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Profits</w:t>
            </w:r>
          </w:p>
        </w:tc>
      </w:tr>
      <w:tr w:rsidR="0014374B" w:rsidRPr="0014374B" w14:paraId="05CB1CC8" w14:textId="77777777" w:rsidTr="0014374B">
        <w:trPr>
          <w:trHeight w:val="314"/>
        </w:trPr>
        <w:tc>
          <w:tcPr>
            <w:tcW w:w="1514" w:type="dxa"/>
            <w:noWrap/>
            <w:hideMark/>
          </w:tcPr>
          <w:p w14:paraId="16BD784F"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2009</w:t>
            </w:r>
          </w:p>
        </w:tc>
        <w:tc>
          <w:tcPr>
            <w:tcW w:w="1514" w:type="dxa"/>
            <w:noWrap/>
            <w:hideMark/>
          </w:tcPr>
          <w:p w14:paraId="7DBD33EE" w14:textId="38E552E7"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$2,086</w:t>
            </w:r>
          </w:p>
        </w:tc>
        <w:tc>
          <w:tcPr>
            <w:tcW w:w="1571" w:type="dxa"/>
            <w:noWrap/>
            <w:hideMark/>
          </w:tcPr>
          <w:p w14:paraId="5E7E2B5E" w14:textId="50AA4760"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$8,084</w:t>
            </w:r>
          </w:p>
        </w:tc>
        <w:tc>
          <w:tcPr>
            <w:tcW w:w="1665" w:type="dxa"/>
            <w:noWrap/>
            <w:hideMark/>
          </w:tcPr>
          <w:p w14:paraId="2952A35F" w14:textId="2F811773"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$6,545</w:t>
            </w:r>
          </w:p>
        </w:tc>
        <w:tc>
          <w:tcPr>
            <w:tcW w:w="1514" w:type="dxa"/>
            <w:noWrap/>
            <w:hideMark/>
          </w:tcPr>
          <w:p w14:paraId="62522E67" w14:textId="066D6DFF"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$104</w:t>
            </w:r>
          </w:p>
        </w:tc>
      </w:tr>
      <w:tr w:rsidR="0014374B" w:rsidRPr="0014374B" w14:paraId="4F45528C" w14:textId="77777777" w:rsidTr="0014374B">
        <w:trPr>
          <w:trHeight w:val="314"/>
        </w:trPr>
        <w:tc>
          <w:tcPr>
            <w:tcW w:w="1514" w:type="dxa"/>
            <w:noWrap/>
            <w:hideMark/>
          </w:tcPr>
          <w:p w14:paraId="5C1BE5B1"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2010</w:t>
            </w:r>
          </w:p>
        </w:tc>
        <w:tc>
          <w:tcPr>
            <w:tcW w:w="1514" w:type="dxa"/>
            <w:noWrap/>
            <w:hideMark/>
          </w:tcPr>
          <w:p w14:paraId="3547AA9E" w14:textId="2F219399"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$2,828</w:t>
            </w:r>
          </w:p>
        </w:tc>
        <w:tc>
          <w:tcPr>
            <w:tcW w:w="1571" w:type="dxa"/>
            <w:noWrap/>
            <w:hideMark/>
          </w:tcPr>
          <w:p w14:paraId="196937C8" w14:textId="362824C2"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$8,795</w:t>
            </w:r>
          </w:p>
        </w:tc>
        <w:tc>
          <w:tcPr>
            <w:tcW w:w="1665" w:type="dxa"/>
            <w:noWrap/>
            <w:hideMark/>
          </w:tcPr>
          <w:p w14:paraId="748DB8F6" w14:textId="3D16E797"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$7,313</w:t>
            </w:r>
          </w:p>
        </w:tc>
        <w:tc>
          <w:tcPr>
            <w:tcW w:w="1514" w:type="dxa"/>
            <w:noWrap/>
            <w:hideMark/>
          </w:tcPr>
          <w:p w14:paraId="7BFDB63E" w14:textId="32BF5FC7"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$139</w:t>
            </w:r>
          </w:p>
        </w:tc>
      </w:tr>
      <w:tr w:rsidR="0014374B" w:rsidRPr="0014374B" w14:paraId="67BB7799" w14:textId="77777777" w:rsidTr="0014374B">
        <w:trPr>
          <w:trHeight w:val="314"/>
        </w:trPr>
        <w:tc>
          <w:tcPr>
            <w:tcW w:w="1514" w:type="dxa"/>
            <w:noWrap/>
            <w:hideMark/>
          </w:tcPr>
          <w:p w14:paraId="317C9F99"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2011</w:t>
            </w:r>
          </w:p>
        </w:tc>
        <w:tc>
          <w:tcPr>
            <w:tcW w:w="1514" w:type="dxa"/>
            <w:noWrap/>
            <w:hideMark/>
          </w:tcPr>
          <w:p w14:paraId="15038926" w14:textId="72CA198D"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$3,495</w:t>
            </w:r>
          </w:p>
        </w:tc>
        <w:tc>
          <w:tcPr>
            <w:tcW w:w="1571" w:type="dxa"/>
            <w:noWrap/>
            <w:hideMark/>
          </w:tcPr>
          <w:p w14:paraId="43B1451B" w14:textId="4E432245"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$9,337</w:t>
            </w:r>
          </w:p>
        </w:tc>
        <w:tc>
          <w:tcPr>
            <w:tcW w:w="1665" w:type="dxa"/>
            <w:noWrap/>
            <w:hideMark/>
          </w:tcPr>
          <w:p w14:paraId="02B4EF89" w14:textId="00868836"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$7,361</w:t>
            </w:r>
          </w:p>
        </w:tc>
        <w:tc>
          <w:tcPr>
            <w:tcW w:w="1514" w:type="dxa"/>
            <w:noWrap/>
            <w:hideMark/>
          </w:tcPr>
          <w:p w14:paraId="7255FC42" w14:textId="44243C9C"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$129</w:t>
            </w:r>
          </w:p>
        </w:tc>
      </w:tr>
      <w:tr w:rsidR="0014374B" w:rsidRPr="0014374B" w14:paraId="2A81951B" w14:textId="77777777" w:rsidTr="0014374B">
        <w:trPr>
          <w:trHeight w:val="314"/>
        </w:trPr>
        <w:tc>
          <w:tcPr>
            <w:tcW w:w="1514" w:type="dxa"/>
            <w:noWrap/>
            <w:hideMark/>
          </w:tcPr>
          <w:p w14:paraId="1DE810A9"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2012</w:t>
            </w:r>
          </w:p>
        </w:tc>
        <w:tc>
          <w:tcPr>
            <w:tcW w:w="1514" w:type="dxa"/>
            <w:noWrap/>
            <w:hideMark/>
          </w:tcPr>
          <w:p w14:paraId="6AD3E255" w14:textId="3D3600F8"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$4,154</w:t>
            </w:r>
          </w:p>
        </w:tc>
        <w:tc>
          <w:tcPr>
            <w:tcW w:w="1571" w:type="dxa"/>
            <w:noWrap/>
            <w:hideMark/>
          </w:tcPr>
          <w:p w14:paraId="5D9EC6E5" w14:textId="5BCFF64B"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$10,052</w:t>
            </w:r>
          </w:p>
        </w:tc>
        <w:tc>
          <w:tcPr>
            <w:tcW w:w="1665" w:type="dxa"/>
            <w:noWrap/>
            <w:hideMark/>
          </w:tcPr>
          <w:p w14:paraId="2F412E50" w14:textId="54289108"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$7,862</w:t>
            </w:r>
          </w:p>
        </w:tc>
        <w:tc>
          <w:tcPr>
            <w:tcW w:w="1514" w:type="dxa"/>
            <w:noWrap/>
            <w:hideMark/>
          </w:tcPr>
          <w:p w14:paraId="729A74D9" w14:textId="3350CE6D"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$124</w:t>
            </w:r>
          </w:p>
        </w:tc>
      </w:tr>
      <w:tr w:rsidR="0014374B" w:rsidRPr="0014374B" w14:paraId="0E5773F3" w14:textId="77777777" w:rsidTr="0014374B">
        <w:trPr>
          <w:trHeight w:val="314"/>
        </w:trPr>
        <w:tc>
          <w:tcPr>
            <w:tcW w:w="1514" w:type="dxa"/>
            <w:noWrap/>
            <w:hideMark/>
          </w:tcPr>
          <w:p w14:paraId="4841F26B"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2013</w:t>
            </w:r>
          </w:p>
        </w:tc>
        <w:tc>
          <w:tcPr>
            <w:tcW w:w="1514" w:type="dxa"/>
            <w:noWrap/>
            <w:hideMark/>
          </w:tcPr>
          <w:p w14:paraId="24FDC2E6" w14:textId="3E0C025D"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$4,444</w:t>
            </w:r>
          </w:p>
        </w:tc>
        <w:tc>
          <w:tcPr>
            <w:tcW w:w="1571" w:type="dxa"/>
            <w:noWrap/>
            <w:hideMark/>
          </w:tcPr>
          <w:p w14:paraId="362AA4BB" w14:textId="6DC390A9"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$11,191</w:t>
            </w:r>
          </w:p>
        </w:tc>
        <w:tc>
          <w:tcPr>
            <w:tcW w:w="1665" w:type="dxa"/>
            <w:noWrap/>
            <w:hideMark/>
          </w:tcPr>
          <w:p w14:paraId="1CFE7619" w14:textId="02918C4C"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$8,699</w:t>
            </w:r>
          </w:p>
        </w:tc>
        <w:tc>
          <w:tcPr>
            <w:tcW w:w="1514" w:type="dxa"/>
            <w:noWrap/>
            <w:hideMark/>
          </w:tcPr>
          <w:p w14:paraId="69056097" w14:textId="24BFFE7A"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$143</w:t>
            </w:r>
          </w:p>
        </w:tc>
      </w:tr>
      <w:tr w:rsidR="0014374B" w:rsidRPr="0014374B" w14:paraId="08D677AF" w14:textId="77777777" w:rsidTr="0014374B">
        <w:trPr>
          <w:trHeight w:val="314"/>
        </w:trPr>
        <w:tc>
          <w:tcPr>
            <w:tcW w:w="1514" w:type="dxa"/>
            <w:noWrap/>
            <w:hideMark/>
          </w:tcPr>
          <w:p w14:paraId="4C07E4C1"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2014</w:t>
            </w:r>
          </w:p>
        </w:tc>
        <w:tc>
          <w:tcPr>
            <w:tcW w:w="1514" w:type="dxa"/>
            <w:noWrap/>
            <w:hideMark/>
          </w:tcPr>
          <w:p w14:paraId="65DF91C8" w14:textId="74925102"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$4,871</w:t>
            </w:r>
          </w:p>
        </w:tc>
        <w:tc>
          <w:tcPr>
            <w:tcW w:w="1571" w:type="dxa"/>
            <w:noWrap/>
            <w:hideMark/>
          </w:tcPr>
          <w:p w14:paraId="4CE8A569" w14:textId="2C3A9D88"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$11,815</w:t>
            </w:r>
          </w:p>
        </w:tc>
        <w:tc>
          <w:tcPr>
            <w:tcW w:w="1665" w:type="dxa"/>
            <w:noWrap/>
            <w:hideMark/>
          </w:tcPr>
          <w:p w14:paraId="141E7B5F" w14:textId="5FBA4225"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$9,411</w:t>
            </w:r>
          </w:p>
        </w:tc>
        <w:tc>
          <w:tcPr>
            <w:tcW w:w="1514" w:type="dxa"/>
            <w:noWrap/>
            <w:hideMark/>
          </w:tcPr>
          <w:p w14:paraId="706FB743" w14:textId="07887A2F"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$147</w:t>
            </w:r>
          </w:p>
        </w:tc>
      </w:tr>
      <w:tr w:rsidR="0014374B" w:rsidRPr="0014374B" w14:paraId="194BAC10" w14:textId="77777777" w:rsidTr="0014374B">
        <w:trPr>
          <w:trHeight w:val="314"/>
        </w:trPr>
        <w:tc>
          <w:tcPr>
            <w:tcW w:w="1514" w:type="dxa"/>
            <w:noWrap/>
            <w:hideMark/>
          </w:tcPr>
          <w:p w14:paraId="26BA2F3F"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2015</w:t>
            </w:r>
          </w:p>
        </w:tc>
        <w:tc>
          <w:tcPr>
            <w:tcW w:w="1514" w:type="dxa"/>
            <w:noWrap/>
            <w:hideMark/>
          </w:tcPr>
          <w:p w14:paraId="4FB33FFB" w14:textId="19C41067"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$5,806</w:t>
            </w:r>
          </w:p>
        </w:tc>
        <w:tc>
          <w:tcPr>
            <w:tcW w:w="1571" w:type="dxa"/>
            <w:noWrap/>
            <w:hideMark/>
          </w:tcPr>
          <w:p w14:paraId="2AAA4D96" w14:textId="11B60328"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$12,600</w:t>
            </w:r>
          </w:p>
        </w:tc>
        <w:tc>
          <w:tcPr>
            <w:tcW w:w="1665" w:type="dxa"/>
            <w:noWrap/>
            <w:hideMark/>
          </w:tcPr>
          <w:p w14:paraId="626F3F51" w14:textId="0EA3D0CE"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$9,965</w:t>
            </w:r>
          </w:p>
        </w:tc>
        <w:tc>
          <w:tcPr>
            <w:tcW w:w="1514" w:type="dxa"/>
            <w:noWrap/>
            <w:hideMark/>
          </w:tcPr>
          <w:p w14:paraId="60DCFFBC" w14:textId="3D8E15F3"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$133</w:t>
            </w:r>
          </w:p>
        </w:tc>
      </w:tr>
      <w:tr w:rsidR="0014374B" w:rsidRPr="0014374B" w14:paraId="2101026E" w14:textId="77777777" w:rsidTr="0014374B">
        <w:trPr>
          <w:trHeight w:val="314"/>
        </w:trPr>
        <w:tc>
          <w:tcPr>
            <w:tcW w:w="1514" w:type="dxa"/>
            <w:noWrap/>
            <w:hideMark/>
          </w:tcPr>
          <w:p w14:paraId="07149059"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lastRenderedPageBreak/>
              <w:t>2016</w:t>
            </w:r>
          </w:p>
        </w:tc>
        <w:tc>
          <w:tcPr>
            <w:tcW w:w="1514" w:type="dxa"/>
            <w:noWrap/>
            <w:hideMark/>
          </w:tcPr>
          <w:p w14:paraId="3AF25217" w14:textId="0EECDE14"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$6,806</w:t>
            </w:r>
          </w:p>
        </w:tc>
        <w:tc>
          <w:tcPr>
            <w:tcW w:w="1571" w:type="dxa"/>
            <w:noWrap/>
            <w:hideMark/>
          </w:tcPr>
          <w:p w14:paraId="7D441930" w14:textId="30104DBA"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$14,196</w:t>
            </w:r>
          </w:p>
        </w:tc>
        <w:tc>
          <w:tcPr>
            <w:tcW w:w="1665" w:type="dxa"/>
            <w:noWrap/>
            <w:hideMark/>
          </w:tcPr>
          <w:p w14:paraId="388748AA" w14:textId="7C82B5B4"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$10,942</w:t>
            </w:r>
          </w:p>
        </w:tc>
        <w:tc>
          <w:tcPr>
            <w:tcW w:w="1514" w:type="dxa"/>
            <w:noWrap/>
            <w:hideMark/>
          </w:tcPr>
          <w:p w14:paraId="38FB6FE9" w14:textId="3D81B220"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$149</w:t>
            </w:r>
          </w:p>
        </w:tc>
      </w:tr>
      <w:tr w:rsidR="0014374B" w:rsidRPr="0014374B" w14:paraId="1FEE91D8" w14:textId="77777777" w:rsidTr="0014374B">
        <w:trPr>
          <w:trHeight w:val="314"/>
        </w:trPr>
        <w:tc>
          <w:tcPr>
            <w:tcW w:w="1514" w:type="dxa"/>
            <w:noWrap/>
            <w:hideMark/>
          </w:tcPr>
          <w:p w14:paraId="3EC7060F"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2017</w:t>
            </w:r>
          </w:p>
        </w:tc>
        <w:tc>
          <w:tcPr>
            <w:tcW w:w="1514" w:type="dxa"/>
            <w:noWrap/>
            <w:hideMark/>
          </w:tcPr>
          <w:p w14:paraId="74404DF4" w14:textId="339B59A8"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$7,947</w:t>
            </w:r>
          </w:p>
        </w:tc>
        <w:tc>
          <w:tcPr>
            <w:tcW w:w="1571" w:type="dxa"/>
            <w:noWrap/>
            <w:hideMark/>
          </w:tcPr>
          <w:p w14:paraId="61FB880B" w14:textId="69CB4850"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$15,850</w:t>
            </w:r>
          </w:p>
        </w:tc>
        <w:tc>
          <w:tcPr>
            <w:tcW w:w="1665" w:type="dxa"/>
            <w:noWrap/>
            <w:hideMark/>
          </w:tcPr>
          <w:p w14:paraId="099EF853" w14:textId="36A20D70"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$12,325</w:t>
            </w:r>
          </w:p>
        </w:tc>
        <w:tc>
          <w:tcPr>
            <w:tcW w:w="1514" w:type="dxa"/>
            <w:noWrap/>
            <w:hideMark/>
          </w:tcPr>
          <w:p w14:paraId="32A931F7" w14:textId="01EA5C81"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$169</w:t>
            </w:r>
          </w:p>
        </w:tc>
      </w:tr>
      <w:tr w:rsidR="0014374B" w:rsidRPr="0014374B" w14:paraId="01D29D89" w14:textId="77777777" w:rsidTr="0014374B">
        <w:trPr>
          <w:trHeight w:val="314"/>
        </w:trPr>
        <w:tc>
          <w:tcPr>
            <w:tcW w:w="1514" w:type="dxa"/>
            <w:noWrap/>
            <w:hideMark/>
          </w:tcPr>
          <w:p w14:paraId="1E5DDF64" w14:textId="77777777" w:rsidR="0014374B" w:rsidRPr="0014374B" w:rsidRDefault="0014374B" w:rsidP="0014374B">
            <w:pPr>
              <w:rPr>
                <w:rFonts w:asciiTheme="majorBidi" w:eastAsia="Times New Roman" w:hAnsiTheme="majorBidi" w:cstheme="majorBidi"/>
                <w:b/>
                <w:bCs/>
                <w:szCs w:val="24"/>
              </w:rPr>
            </w:pPr>
            <w:r w:rsidRPr="0014374B">
              <w:rPr>
                <w:rFonts w:asciiTheme="majorBidi" w:eastAsia="Times New Roman" w:hAnsiTheme="majorBidi" w:cstheme="majorBidi"/>
                <w:b/>
                <w:bCs/>
                <w:szCs w:val="24"/>
              </w:rPr>
              <w:t>2018</w:t>
            </w:r>
          </w:p>
        </w:tc>
        <w:tc>
          <w:tcPr>
            <w:tcW w:w="1514" w:type="dxa"/>
            <w:noWrap/>
            <w:hideMark/>
          </w:tcPr>
          <w:p w14:paraId="124FC397" w14:textId="16EB7A09"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$8,346</w:t>
            </w:r>
          </w:p>
        </w:tc>
        <w:tc>
          <w:tcPr>
            <w:tcW w:w="1571" w:type="dxa"/>
            <w:noWrap/>
            <w:hideMark/>
          </w:tcPr>
          <w:p w14:paraId="190F3D8B" w14:textId="62B57573"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$16,125</w:t>
            </w:r>
          </w:p>
        </w:tc>
        <w:tc>
          <w:tcPr>
            <w:tcW w:w="1665" w:type="dxa"/>
            <w:noWrap/>
            <w:hideMark/>
          </w:tcPr>
          <w:p w14:paraId="78B8AE1F" w14:textId="6667A6E0"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$12,398</w:t>
            </w:r>
          </w:p>
        </w:tc>
        <w:tc>
          <w:tcPr>
            <w:tcW w:w="1514" w:type="dxa"/>
            <w:noWrap/>
            <w:hideMark/>
          </w:tcPr>
          <w:p w14:paraId="5FFCD70B" w14:textId="3179C102" w:rsidR="0014374B" w:rsidRPr="0014374B" w:rsidRDefault="0014374B" w:rsidP="0014374B">
            <w:pPr>
              <w:jc w:val="center"/>
              <w:rPr>
                <w:rFonts w:asciiTheme="majorBidi" w:eastAsia="Times New Roman" w:hAnsiTheme="majorBidi" w:cstheme="majorBidi"/>
                <w:szCs w:val="24"/>
              </w:rPr>
            </w:pPr>
            <w:r w:rsidRPr="0014374B">
              <w:rPr>
                <w:rFonts w:asciiTheme="majorBidi" w:eastAsia="Times New Roman" w:hAnsiTheme="majorBidi" w:cstheme="majorBidi"/>
                <w:szCs w:val="24"/>
              </w:rPr>
              <w:t>$176</w:t>
            </w:r>
          </w:p>
        </w:tc>
      </w:tr>
      <w:tr w:rsidR="0014374B" w:rsidRPr="0014374B" w14:paraId="2851B31D" w14:textId="77777777" w:rsidTr="0014374B">
        <w:trPr>
          <w:trHeight w:val="314"/>
        </w:trPr>
        <w:tc>
          <w:tcPr>
            <w:tcW w:w="1514" w:type="dxa"/>
            <w:noWrap/>
            <w:hideMark/>
          </w:tcPr>
          <w:p w14:paraId="07F250C3" w14:textId="77777777" w:rsidR="0014374B" w:rsidRPr="0014374B" w:rsidRDefault="0014374B" w:rsidP="0014374B">
            <w:pPr>
              <w:rPr>
                <w:rFonts w:asciiTheme="majorBidi" w:eastAsia="Times New Roman" w:hAnsiTheme="majorBidi" w:cstheme="majorBidi"/>
                <w:b/>
                <w:bCs/>
                <w:i/>
                <w:iCs/>
                <w:szCs w:val="24"/>
              </w:rPr>
            </w:pPr>
            <w:r w:rsidRPr="0014374B">
              <w:rPr>
                <w:rFonts w:asciiTheme="majorBidi" w:eastAsia="Times New Roman" w:hAnsiTheme="majorBidi" w:cstheme="majorBidi"/>
                <w:b/>
                <w:bCs/>
                <w:i/>
                <w:iCs/>
                <w:szCs w:val="24"/>
              </w:rPr>
              <w:t>CAGR</w:t>
            </w:r>
          </w:p>
        </w:tc>
        <w:tc>
          <w:tcPr>
            <w:tcW w:w="1514" w:type="dxa"/>
            <w:noWrap/>
            <w:hideMark/>
          </w:tcPr>
          <w:p w14:paraId="761100F6"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17%</w:t>
            </w:r>
          </w:p>
        </w:tc>
        <w:tc>
          <w:tcPr>
            <w:tcW w:w="1571" w:type="dxa"/>
            <w:noWrap/>
            <w:hideMark/>
          </w:tcPr>
          <w:p w14:paraId="055ED014"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8%</w:t>
            </w:r>
          </w:p>
        </w:tc>
        <w:tc>
          <w:tcPr>
            <w:tcW w:w="1665" w:type="dxa"/>
            <w:noWrap/>
            <w:hideMark/>
          </w:tcPr>
          <w:p w14:paraId="2161370E"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7%</w:t>
            </w:r>
          </w:p>
        </w:tc>
        <w:tc>
          <w:tcPr>
            <w:tcW w:w="1514" w:type="dxa"/>
            <w:noWrap/>
            <w:hideMark/>
          </w:tcPr>
          <w:p w14:paraId="2989D8DF" w14:textId="77777777" w:rsidR="0014374B" w:rsidRPr="0014374B" w:rsidRDefault="0014374B" w:rsidP="0014374B">
            <w:pPr>
              <w:jc w:val="center"/>
              <w:rPr>
                <w:rFonts w:asciiTheme="majorBidi" w:eastAsia="Times New Roman" w:hAnsiTheme="majorBidi" w:cstheme="majorBidi"/>
                <w:b/>
                <w:bCs/>
                <w:szCs w:val="24"/>
              </w:rPr>
            </w:pPr>
            <w:r w:rsidRPr="0014374B">
              <w:rPr>
                <w:rFonts w:asciiTheme="majorBidi" w:eastAsia="Times New Roman" w:hAnsiTheme="majorBidi" w:cstheme="majorBidi"/>
                <w:b/>
                <w:bCs/>
                <w:szCs w:val="24"/>
              </w:rPr>
              <w:t>6%</w:t>
            </w:r>
          </w:p>
        </w:tc>
      </w:tr>
    </w:tbl>
    <w:p w14:paraId="16CE5087" w14:textId="14BD9BA9" w:rsidR="000C18C5" w:rsidRPr="001A5B86" w:rsidRDefault="001A5B86" w:rsidP="004B38EC">
      <w:pPr>
        <w:rPr>
          <w:rFonts w:eastAsia="Times New Roman" w:cs="Times New Roman"/>
          <w:i/>
          <w:iCs/>
          <w:sz w:val="20"/>
          <w:szCs w:val="18"/>
        </w:rPr>
      </w:pPr>
      <w:r w:rsidRPr="001A5B86">
        <w:rPr>
          <w:rFonts w:eastAsia="Times New Roman" w:cs="Times New Roman"/>
          <w:i/>
          <w:iCs/>
          <w:sz w:val="20"/>
          <w:szCs w:val="18"/>
        </w:rPr>
        <w:t>Source: PMA reports</w:t>
      </w:r>
    </w:p>
    <w:p w14:paraId="4DAD7CDB" w14:textId="0FC66D32" w:rsidR="00DE2B35" w:rsidRDefault="00065089" w:rsidP="00DE2B35">
      <w:pPr>
        <w:rPr>
          <w:rFonts w:eastAsia="Times New Roman" w:cs="Times New Roman"/>
          <w:lang w:val="en"/>
        </w:rPr>
      </w:pPr>
      <w:r>
        <w:rPr>
          <w:rFonts w:eastAsia="Times New Roman" w:cs="Times New Roman"/>
          <w:lang w:val="en"/>
        </w:rPr>
        <w:t xml:space="preserve"> Of the 14 banks operating in Palestine, three banks are </w:t>
      </w:r>
      <w:r w:rsidR="003829EE">
        <w:rPr>
          <w:rFonts w:eastAsia="Times New Roman" w:cs="Times New Roman"/>
          <w:lang w:val="en"/>
        </w:rPr>
        <w:t xml:space="preserve">local full-fledged </w:t>
      </w:r>
      <w:r>
        <w:rPr>
          <w:rFonts w:eastAsia="Times New Roman" w:cs="Times New Roman"/>
          <w:lang w:val="en"/>
        </w:rPr>
        <w:t>Islamic and the remaining are conventional.</w:t>
      </w:r>
      <w:r w:rsidR="003829EE">
        <w:rPr>
          <w:rFonts w:eastAsia="Times New Roman" w:cs="Times New Roman"/>
          <w:lang w:val="en"/>
        </w:rPr>
        <w:t xml:space="preserve"> All the three banks become subsidiaries of conventional banks, which reflects the </w:t>
      </w:r>
      <w:r w:rsidR="00DE2B35">
        <w:rPr>
          <w:rFonts w:eastAsia="Times New Roman" w:cs="Times New Roman"/>
          <w:lang w:val="en"/>
        </w:rPr>
        <w:t xml:space="preserve">opportunities provided by Islamic banks in Palestine. </w:t>
      </w:r>
      <w:r w:rsidR="00343B30">
        <w:rPr>
          <w:rFonts w:eastAsia="Times New Roman" w:cs="Times New Roman"/>
          <w:lang w:val="en"/>
        </w:rPr>
        <w:t xml:space="preserve">The names of the banks (conventional and Islamic) are </w:t>
      </w:r>
      <w:r w:rsidR="00296696">
        <w:rPr>
          <w:rFonts w:eastAsia="Times New Roman" w:cs="Times New Roman"/>
          <w:lang w:val="en"/>
        </w:rPr>
        <w:t>i</w:t>
      </w:r>
      <w:r w:rsidR="00343B30">
        <w:rPr>
          <w:rFonts w:eastAsia="Times New Roman" w:cs="Times New Roman"/>
          <w:lang w:val="en"/>
        </w:rPr>
        <w:t>ncluded in appendix</w:t>
      </w:r>
      <w:r w:rsidR="009519F0">
        <w:rPr>
          <w:rFonts w:eastAsia="Times New Roman" w:cs="Times New Roman"/>
          <w:lang w:val="en"/>
        </w:rPr>
        <w:t>-1</w:t>
      </w:r>
      <w:r w:rsidR="00343B30">
        <w:rPr>
          <w:rFonts w:eastAsia="Times New Roman" w:cs="Times New Roman"/>
          <w:lang w:val="en"/>
        </w:rPr>
        <w:t xml:space="preserve">. </w:t>
      </w:r>
    </w:p>
    <w:p w14:paraId="45DB067E" w14:textId="5B0E3243" w:rsidR="00782D41" w:rsidRPr="002B430C" w:rsidRDefault="00BD5ECF" w:rsidP="002B430C">
      <w:pPr>
        <w:pStyle w:val="Heading2"/>
      </w:pPr>
      <w:r w:rsidRPr="002B430C">
        <w:t>Literature Review</w:t>
      </w:r>
    </w:p>
    <w:p w14:paraId="3BA4925C" w14:textId="1A974360" w:rsidR="00BD5ECF" w:rsidRPr="002B430C" w:rsidRDefault="002344ED" w:rsidP="002B430C">
      <w:pPr>
        <w:pStyle w:val="Heading3"/>
      </w:pPr>
      <w:r w:rsidRPr="002B430C">
        <w:t>Theoretical</w:t>
      </w:r>
      <w:r w:rsidR="00CA3A41" w:rsidRPr="002B430C">
        <w:t xml:space="preserve"> Framework</w:t>
      </w:r>
    </w:p>
    <w:p w14:paraId="38008CD2" w14:textId="3BCCC806" w:rsidR="00186786" w:rsidRPr="00186786" w:rsidRDefault="00025796" w:rsidP="00025796">
      <w:pPr>
        <w:rPr>
          <w:rtl/>
        </w:rPr>
      </w:pPr>
      <w:r>
        <w:t xml:space="preserve">Four theories have been </w:t>
      </w:r>
      <w:r w:rsidR="00707B2C">
        <w:t>identified</w:t>
      </w:r>
      <w:r>
        <w:t xml:space="preserve"> in the literature </w:t>
      </w:r>
      <w:r w:rsidR="00FD26B8">
        <w:t xml:space="preserve">that are considered relevant to the research problem. </w:t>
      </w:r>
    </w:p>
    <w:p w14:paraId="33869E4D" w14:textId="1E7A7B73" w:rsidR="001928A1" w:rsidRDefault="001928A1" w:rsidP="001928A1">
      <w:pPr>
        <w:pStyle w:val="Heading4"/>
      </w:pPr>
      <w:r w:rsidRPr="001928A1">
        <w:t>Shiftability Theory</w:t>
      </w:r>
    </w:p>
    <w:p w14:paraId="5BDEBE3F" w14:textId="012E4CAF" w:rsidR="00C77AF1" w:rsidRDefault="009A5B54" w:rsidP="0044774B">
      <w:pPr>
        <w:rPr>
          <w:lang w:val="en"/>
        </w:rPr>
      </w:pPr>
      <w:r>
        <w:rPr>
          <w:lang w:val="en"/>
        </w:rPr>
        <w:t xml:space="preserve">This theory is related to the first dimension of liquidity that is; the asset side. </w:t>
      </w:r>
      <w:r w:rsidR="00D81EC6">
        <w:rPr>
          <w:lang w:val="en"/>
        </w:rPr>
        <w:t xml:space="preserve">This theory introduced </w:t>
      </w:r>
      <w:r w:rsidR="00D81EC6" w:rsidRPr="00D81EC6">
        <w:rPr>
          <w:lang w:val="en"/>
        </w:rPr>
        <w:t xml:space="preserve">by </w:t>
      </w:r>
      <w:r w:rsidR="00ED6080" w:rsidRPr="00D81EC6">
        <w:rPr>
          <w:lang w:val="en"/>
        </w:rPr>
        <w:t xml:space="preserve">Moulton (1915) </w:t>
      </w:r>
      <w:r w:rsidR="00D81EC6">
        <w:rPr>
          <w:lang w:val="en"/>
        </w:rPr>
        <w:t xml:space="preserve">who </w:t>
      </w:r>
      <w:r w:rsidR="00ED6080" w:rsidRPr="00D81EC6">
        <w:rPr>
          <w:lang w:val="en"/>
        </w:rPr>
        <w:t>argue</w:t>
      </w:r>
      <w:r w:rsidR="00D81EC6">
        <w:rPr>
          <w:lang w:val="en"/>
        </w:rPr>
        <w:t>s</w:t>
      </w:r>
      <w:r w:rsidR="00ED6080" w:rsidRPr="00D81EC6">
        <w:rPr>
          <w:lang w:val="en"/>
        </w:rPr>
        <w:t xml:space="preserve"> that liquidity of </w:t>
      </w:r>
      <w:r w:rsidRPr="00D81EC6">
        <w:rPr>
          <w:lang w:val="en"/>
        </w:rPr>
        <w:t xml:space="preserve">a </w:t>
      </w:r>
      <w:r w:rsidR="00ED6080" w:rsidRPr="00D81EC6">
        <w:rPr>
          <w:lang w:val="en"/>
        </w:rPr>
        <w:t xml:space="preserve">bank is </w:t>
      </w:r>
      <w:r w:rsidRPr="00D81EC6">
        <w:rPr>
          <w:lang w:val="en"/>
        </w:rPr>
        <w:t xml:space="preserve">related to its asset’s </w:t>
      </w:r>
      <w:r w:rsidR="00ED6080" w:rsidRPr="00D81EC6">
        <w:rPr>
          <w:lang w:val="en"/>
        </w:rPr>
        <w:t xml:space="preserve">marketability or </w:t>
      </w:r>
      <w:r w:rsidRPr="00D81EC6">
        <w:rPr>
          <w:lang w:val="en"/>
        </w:rPr>
        <w:t>its</w:t>
      </w:r>
      <w:r>
        <w:rPr>
          <w:lang w:val="en"/>
        </w:rPr>
        <w:t xml:space="preserve"> </w:t>
      </w:r>
      <w:r w:rsidR="00ED6080" w:rsidRPr="00ED6080">
        <w:rPr>
          <w:lang w:val="en"/>
        </w:rPr>
        <w:t xml:space="preserve">transferability. </w:t>
      </w:r>
      <w:r>
        <w:rPr>
          <w:lang w:val="en"/>
        </w:rPr>
        <w:t xml:space="preserve">For an asset </w:t>
      </w:r>
      <w:r w:rsidR="00ED6080" w:rsidRPr="00ED6080">
        <w:rPr>
          <w:lang w:val="en"/>
        </w:rPr>
        <w:t xml:space="preserve">to be shift able, it </w:t>
      </w:r>
      <w:r>
        <w:rPr>
          <w:lang w:val="en"/>
        </w:rPr>
        <w:t xml:space="preserve">should have to ability to be </w:t>
      </w:r>
      <w:r w:rsidR="00ED6080" w:rsidRPr="00ED6080">
        <w:rPr>
          <w:lang w:val="en"/>
        </w:rPr>
        <w:t xml:space="preserve">instantly transferrable with no unacceptable loss. </w:t>
      </w:r>
      <w:r>
        <w:rPr>
          <w:lang w:val="en"/>
        </w:rPr>
        <w:t>The instruments that obey thi</w:t>
      </w:r>
      <w:r w:rsidR="00ED6080" w:rsidRPr="00ED6080">
        <w:rPr>
          <w:lang w:val="en"/>
        </w:rPr>
        <w:t xml:space="preserve">s definition </w:t>
      </w:r>
      <w:r>
        <w:rPr>
          <w:lang w:val="en"/>
        </w:rPr>
        <w:t xml:space="preserve">are </w:t>
      </w:r>
      <w:r w:rsidR="00ED6080" w:rsidRPr="00ED6080">
        <w:rPr>
          <w:lang w:val="en"/>
        </w:rPr>
        <w:t xml:space="preserve">mainly </w:t>
      </w:r>
      <w:r w:rsidR="008B67A6" w:rsidRPr="00ED6080">
        <w:rPr>
          <w:lang w:val="en"/>
        </w:rPr>
        <w:t>short-term</w:t>
      </w:r>
      <w:r w:rsidR="00ED6080" w:rsidRPr="00ED6080">
        <w:rPr>
          <w:lang w:val="en"/>
        </w:rPr>
        <w:t xml:space="preserve"> financial assets</w:t>
      </w:r>
      <w:r>
        <w:rPr>
          <w:lang w:val="en"/>
        </w:rPr>
        <w:t xml:space="preserve"> including </w:t>
      </w:r>
      <w:r w:rsidR="00817971" w:rsidRPr="00ED6080">
        <w:rPr>
          <w:lang w:val="en"/>
        </w:rPr>
        <w:t>Treasury</w:t>
      </w:r>
      <w:r w:rsidR="00ED6080" w:rsidRPr="00ED6080">
        <w:rPr>
          <w:lang w:val="en"/>
        </w:rPr>
        <w:t xml:space="preserve"> bills, banker’s acceptance and commercial paper </w:t>
      </w:r>
      <w:r w:rsidR="00817971" w:rsidRPr="00ED6080">
        <w:rPr>
          <w:lang w:val="en"/>
        </w:rPr>
        <w:t>which could</w:t>
      </w:r>
      <w:r w:rsidR="00ED6080" w:rsidRPr="00ED6080">
        <w:rPr>
          <w:lang w:val="en"/>
        </w:rPr>
        <w:t xml:space="preserve"> be easily converted in a secondary market</w:t>
      </w:r>
      <w:r w:rsidR="00821BB6">
        <w:rPr>
          <w:lang w:val="en"/>
        </w:rPr>
        <w:t xml:space="preserve"> </w:t>
      </w:r>
      <w:r w:rsidR="00821BB6">
        <w:rPr>
          <w:lang w:val="en"/>
        </w:rPr>
        <w:fldChar w:fldCharType="begin"/>
      </w:r>
      <w:r w:rsidR="00895548">
        <w:rPr>
          <w:lang w:val="en"/>
        </w:rPr>
        <w:instrText xml:space="preserve"> ADDIN EN.CITE &lt;EndNote&gt;&lt;Cite&gt;&lt;Author&gt;Summers&lt;/Author&gt;&lt;Year&gt;1975&lt;/Year&gt;&lt;RecNum&gt;16&lt;/RecNum&gt;&lt;DisplayText&gt;(Summers, 1975)&lt;/DisplayText&gt;&lt;record&gt;&lt;rec-number&gt;16&lt;/rec-number&gt;&lt;foreign-keys&gt;&lt;key app="EN" db-id="s5wfp0f2qf99z4e9dvmvrwt192ff2arrfzfv" timestamp="0"&gt;16&lt;/key&gt;&lt;/foreign-keys&gt;&lt;ref-type name="Journal Article"&gt;17&lt;/ref-type&gt;&lt;contributors&gt;&lt;authors&gt;&lt;author&gt;Summers, Bruce &lt;/author&gt;&lt;/authors&gt;&lt;/contributors&gt;&lt;titles&gt;&lt;title&gt;Loan commitments to business in United States banking history&lt;/title&gt;&lt;secondary-title&gt;Economic review&lt;/secondary-title&gt;&lt;/titles&gt;&lt;pages&gt;15-23&lt;/pages&gt;&lt;volume&gt;61&lt;/volume&gt;&lt;dates&gt;&lt;year&gt;1975&lt;/year&gt;&lt;/dates&gt;&lt;urls&gt;&lt;/urls&gt;&lt;/record&gt;&lt;/Cite&gt;&lt;/EndNote&gt;</w:instrText>
      </w:r>
      <w:r w:rsidR="00821BB6">
        <w:rPr>
          <w:lang w:val="en"/>
        </w:rPr>
        <w:fldChar w:fldCharType="separate"/>
      </w:r>
      <w:r w:rsidR="00821BB6">
        <w:rPr>
          <w:noProof/>
          <w:lang w:val="en"/>
        </w:rPr>
        <w:t>(Summers, 1975)</w:t>
      </w:r>
      <w:r w:rsidR="00821BB6">
        <w:rPr>
          <w:lang w:val="en"/>
        </w:rPr>
        <w:fldChar w:fldCharType="end"/>
      </w:r>
      <w:r w:rsidR="00ED6080" w:rsidRPr="00ED6080">
        <w:rPr>
          <w:lang w:val="en"/>
        </w:rPr>
        <w:t xml:space="preserve">. </w:t>
      </w:r>
      <w:r w:rsidR="008B67A6">
        <w:rPr>
          <w:lang w:val="en"/>
        </w:rPr>
        <w:t xml:space="preserve">This theory provides a solution for liquidity shrinks in times of crisis as it suggests that shift able assets are is to be transferred to </w:t>
      </w:r>
      <w:r w:rsidR="008B67A6" w:rsidRPr="008B67A6">
        <w:rPr>
          <w:lang w:val="en"/>
        </w:rPr>
        <w:t>the central bank</w:t>
      </w:r>
      <w:r w:rsidR="008B67A6">
        <w:rPr>
          <w:lang w:val="en"/>
        </w:rPr>
        <w:t>.</w:t>
      </w:r>
      <w:r w:rsidR="00095008">
        <w:rPr>
          <w:lang w:val="en"/>
        </w:rPr>
        <w:t xml:space="preserve"> </w:t>
      </w:r>
      <w:r w:rsidR="00095008">
        <w:rPr>
          <w:lang w:val="en"/>
        </w:rPr>
        <w:fldChar w:fldCharType="begin"/>
      </w:r>
      <w:r w:rsidR="00895548">
        <w:rPr>
          <w:lang w:val="en"/>
        </w:rPr>
        <w:instrText xml:space="preserve"> ADDIN EN.CITE &lt;EndNote&gt;&lt;Cite&gt;&lt;Author&gt;Dodds&lt;/Author&gt;&lt;Year&gt;1982&lt;/Year&gt;&lt;RecNum&gt;4&lt;/RecNum&gt;&lt;DisplayText&gt;(Dodds, 1982)&lt;/DisplayText&gt;&lt;record&gt;&lt;rec-number&gt;4&lt;/rec-number&gt;&lt;foreign-keys&gt;&lt;key app="EN" db-id="s5wfp0f2qf99z4e9dvmvrwt192ff2arrfzfv" timestamp="0"&gt;4&lt;/key&gt;&lt;/foreign-keys&gt;&lt;ref-type name="Journal Article"&gt;17&lt;/ref-type&gt;&lt;contributors&gt;&lt;authors&gt;&lt;author&gt;Dodds, J Colin &lt;/author&gt;&lt;/authors&gt;&lt;/contributors&gt;&lt;titles&gt;&lt;title&gt;The term structure of interest rates: a survey of the theories and empirical evidence&lt;/title&gt;&lt;secondary-title&gt;Managerial Finance&lt;/secondary-title&gt;&lt;/titles&gt;&lt;dates&gt;&lt;year&gt;1982&lt;/year&gt;&lt;/dates&gt;&lt;urls&gt;&lt;/urls&gt;&lt;/record&gt;&lt;/Cite&gt;&lt;/EndNote&gt;</w:instrText>
      </w:r>
      <w:r w:rsidR="00095008">
        <w:rPr>
          <w:lang w:val="en"/>
        </w:rPr>
        <w:fldChar w:fldCharType="separate"/>
      </w:r>
      <w:r w:rsidR="00095008">
        <w:rPr>
          <w:noProof/>
          <w:lang w:val="en"/>
        </w:rPr>
        <w:t>(Dodds, 1982)</w:t>
      </w:r>
      <w:r w:rsidR="00095008">
        <w:rPr>
          <w:lang w:val="en"/>
        </w:rPr>
        <w:fldChar w:fldCharType="end"/>
      </w:r>
      <w:r w:rsidR="00095008">
        <w:rPr>
          <w:lang w:val="en"/>
        </w:rPr>
        <w:t xml:space="preserve"> </w:t>
      </w:r>
      <w:r w:rsidR="009117F4">
        <w:rPr>
          <w:lang w:val="en"/>
        </w:rPr>
        <w:t xml:space="preserve">mentions three criteria that must be present in a </w:t>
      </w:r>
      <w:r w:rsidR="00962D38">
        <w:rPr>
          <w:lang w:val="en"/>
        </w:rPr>
        <w:t>transferable asset</w:t>
      </w:r>
      <w:r w:rsidR="009117F4">
        <w:rPr>
          <w:lang w:val="en"/>
        </w:rPr>
        <w:t>:</w:t>
      </w:r>
      <w:r w:rsidR="009117F4" w:rsidRPr="009117F4">
        <w:rPr>
          <w:lang w:val="en"/>
        </w:rPr>
        <w:t xml:space="preserve"> Appropriate mix of assets of the bank, liquidity management theory and liability management theory.</w:t>
      </w:r>
      <w:r w:rsidR="00962D38">
        <w:rPr>
          <w:lang w:val="en"/>
        </w:rPr>
        <w:t xml:space="preserve"> However, in the event of systematic market risk, </w:t>
      </w:r>
      <w:r w:rsidR="00916F68">
        <w:rPr>
          <w:lang w:val="en"/>
        </w:rPr>
        <w:t xml:space="preserve">the ability of the banks to use the secondary </w:t>
      </w:r>
      <w:r w:rsidR="00C35732">
        <w:rPr>
          <w:lang w:val="en"/>
        </w:rPr>
        <w:t>market as</w:t>
      </w:r>
      <w:r w:rsidR="00916F68">
        <w:rPr>
          <w:lang w:val="en"/>
        </w:rPr>
        <w:t xml:space="preserve"> a medium through which liquidity is obtained is jeopardized.</w:t>
      </w:r>
    </w:p>
    <w:p w14:paraId="5B859D39" w14:textId="0905E174" w:rsidR="001928A1" w:rsidRDefault="001928A1" w:rsidP="001928A1">
      <w:pPr>
        <w:pStyle w:val="Heading4"/>
      </w:pPr>
      <w:r>
        <w:t xml:space="preserve">Liquidity Preference Theory </w:t>
      </w:r>
    </w:p>
    <w:p w14:paraId="41A6E353" w14:textId="4E3EBCA0" w:rsidR="00C77AF1" w:rsidRPr="003D5F9A" w:rsidRDefault="003619EF" w:rsidP="00C77AF1">
      <w:r w:rsidRPr="003619EF">
        <w:rPr>
          <w:lang w:val="en"/>
        </w:rPr>
        <w:t xml:space="preserve">Liquidity preference refers to the quantity of </w:t>
      </w:r>
      <w:r w:rsidR="00F51384">
        <w:rPr>
          <w:lang w:val="en"/>
        </w:rPr>
        <w:t xml:space="preserve">liquid </w:t>
      </w:r>
      <w:r w:rsidRPr="003619EF">
        <w:rPr>
          <w:lang w:val="en"/>
        </w:rPr>
        <w:t xml:space="preserve">cash an individual/ institution would </w:t>
      </w:r>
      <w:r w:rsidR="00F51384">
        <w:rPr>
          <w:lang w:val="en"/>
        </w:rPr>
        <w:t xml:space="preserve">prefer </w:t>
      </w:r>
      <w:r w:rsidRPr="003619EF">
        <w:rPr>
          <w:lang w:val="en"/>
        </w:rPr>
        <w:t xml:space="preserve">to </w:t>
      </w:r>
      <w:r w:rsidR="00F51384" w:rsidRPr="003D5F9A">
        <w:t>maintain at a</w:t>
      </w:r>
      <w:r w:rsidRPr="003D5F9A">
        <w:t xml:space="preserve"> given point in time</w:t>
      </w:r>
      <w:r w:rsidR="0044774B" w:rsidRPr="003D5F9A">
        <w:t xml:space="preserve">. </w:t>
      </w:r>
      <w:r w:rsidR="007A3E6E" w:rsidRPr="003D5F9A">
        <w:fldChar w:fldCharType="begin"/>
      </w:r>
      <w:r w:rsidR="00895548">
        <w:instrText xml:space="preserve"> ADDIN EN.CITE &lt;EndNote&gt;&lt;Cite&gt;&lt;Author&gt;Keynes&lt;/Author&gt;&lt;Year&gt;1937&lt;/Year&gt;&lt;RecNum&gt;5&lt;/RecNum&gt;&lt;DisplayText&gt;(Keynes, 1937)&lt;/DisplayText&gt;&lt;record&gt;&lt;rec-number&gt;5&lt;/rec-number&gt;&lt;foreign-keys&gt;&lt;key app="EN" db-id="s5wfp0f2qf99z4e9dvmvrwt192ff2arrfzfv" timestamp="0"&gt;5&lt;/key&gt;&lt;/foreign-keys&gt;&lt;ref-type name="Journal Article"&gt;17&lt;/ref-type&gt;&lt;contributors&gt;&lt;authors&gt;&lt;author&gt;Keynes, John Maynard &lt;/author&gt;&lt;/authors&gt;&lt;/contributors&gt;&lt;titles&gt;&lt;title&gt;The general theory of employment&lt;/title&gt;&lt;secondary-title&gt;The quarterly journal of economics&lt;/secondary-title&gt;&lt;/titles&gt;&lt;pages&gt;209-223&lt;/pages&gt;&lt;volume&gt;51&lt;/volume&gt;&lt;number&gt;2&lt;/number&gt;&lt;dates&gt;&lt;year&gt;1937&lt;/year&gt;&lt;/dates&gt;&lt;isbn&gt;1531-4650&lt;/isbn&gt;&lt;urls&gt;&lt;/urls&gt;&lt;/record&gt;&lt;/Cite&gt;&lt;/EndNote&gt;</w:instrText>
      </w:r>
      <w:r w:rsidR="007A3E6E" w:rsidRPr="003D5F9A">
        <w:fldChar w:fldCharType="separate"/>
      </w:r>
      <w:r w:rsidR="007A3E6E" w:rsidRPr="003D5F9A">
        <w:rPr>
          <w:noProof/>
        </w:rPr>
        <w:t>(Keynes, 1937)</w:t>
      </w:r>
      <w:r w:rsidR="007A3E6E" w:rsidRPr="003D5F9A">
        <w:fldChar w:fldCharType="end"/>
      </w:r>
      <w:r w:rsidR="007A3E6E" w:rsidRPr="003D5F9A">
        <w:t xml:space="preserve"> </w:t>
      </w:r>
      <w:r w:rsidR="0044774B" w:rsidRPr="003D5F9A">
        <w:t xml:space="preserve">hypothesize that cash needs </w:t>
      </w:r>
      <w:r w:rsidR="005B18FC" w:rsidRPr="003D5F9A">
        <w:t>are</w:t>
      </w:r>
      <w:r w:rsidR="0044774B" w:rsidRPr="003D5F9A">
        <w:t xml:space="preserve"> influenced by</w:t>
      </w:r>
      <w:r w:rsidR="0044774B" w:rsidRPr="003D5F9A">
        <w:rPr>
          <w:lang w:val="en"/>
        </w:rPr>
        <w:t xml:space="preserve"> </w:t>
      </w:r>
      <w:r w:rsidR="0044774B" w:rsidRPr="003D5F9A">
        <w:rPr>
          <w:lang w:val="en"/>
        </w:rPr>
        <w:lastRenderedPageBreak/>
        <w:t xml:space="preserve">three motives: speculative, precautionary and transactions motives. He further postulates that interest rate is the price paid to </w:t>
      </w:r>
      <w:r w:rsidR="005B18FC" w:rsidRPr="003D5F9A">
        <w:rPr>
          <w:lang w:val="en"/>
        </w:rPr>
        <w:t xml:space="preserve">encourage </w:t>
      </w:r>
      <w:r w:rsidR="003D5F9A" w:rsidRPr="003D5F9A">
        <w:t>abandoning of cash holdings.</w:t>
      </w:r>
    </w:p>
    <w:p w14:paraId="48450E58" w14:textId="376219D7" w:rsidR="001928A1" w:rsidRDefault="00C77AF1" w:rsidP="00C77AF1">
      <w:pPr>
        <w:pStyle w:val="Heading4"/>
      </w:pPr>
      <w:r>
        <w:t>Anticipated Income Theory</w:t>
      </w:r>
    </w:p>
    <w:p w14:paraId="49863003" w14:textId="004904DE" w:rsidR="00450D84" w:rsidRDefault="004E4427" w:rsidP="00450D84">
      <w:pPr>
        <w:rPr>
          <w:lang w:val="en"/>
        </w:rPr>
      </w:pPr>
      <w:r>
        <w:rPr>
          <w:lang w:val="en"/>
        </w:rPr>
        <w:t xml:space="preserve">This theory states that banks should plan liquidation of its term loans </w:t>
      </w:r>
      <w:r w:rsidR="00EF519F">
        <w:rPr>
          <w:lang w:val="en"/>
        </w:rPr>
        <w:t xml:space="preserve">based on the projected </w:t>
      </w:r>
      <w:r w:rsidR="00EF519F" w:rsidRPr="0035336A">
        <w:rPr>
          <w:lang w:val="en"/>
        </w:rPr>
        <w:t xml:space="preserve">inflows of their clients. </w:t>
      </w:r>
      <w:r w:rsidR="00806260" w:rsidRPr="0035336A">
        <w:rPr>
          <w:lang w:val="en"/>
        </w:rPr>
        <w:t>This theory advocates putting limitations (covenants) of the borrowers at the time of grating loans in order to ensure that the anticipated income is to be realized.</w:t>
      </w:r>
      <w:r w:rsidR="00582853" w:rsidRPr="0035336A">
        <w:rPr>
          <w:lang w:val="en"/>
        </w:rPr>
        <w:t xml:space="preserve"> </w:t>
      </w:r>
      <w:r w:rsidR="009E2F14">
        <w:rPr>
          <w:lang w:val="en"/>
        </w:rPr>
        <w:t>It also</w:t>
      </w:r>
      <w:r w:rsidR="00582853" w:rsidRPr="0035336A">
        <w:rPr>
          <w:lang w:val="en"/>
        </w:rPr>
        <w:t xml:space="preserve"> addresses the main fundamental objectives of banks which are liquidity, safety and profitability</w:t>
      </w:r>
      <w:r w:rsidR="000C4E94" w:rsidRPr="0035336A">
        <w:rPr>
          <w:lang w:val="en"/>
        </w:rPr>
        <w:t xml:space="preserve"> </w:t>
      </w:r>
      <w:r w:rsidR="000C4E94" w:rsidRPr="0035336A">
        <w:rPr>
          <w:lang w:val="en"/>
        </w:rPr>
        <w:fldChar w:fldCharType="begin"/>
      </w:r>
      <w:r w:rsidR="00895548">
        <w:rPr>
          <w:lang w:val="en"/>
        </w:rPr>
        <w:instrText xml:space="preserve"> ADDIN EN.CITE &lt;EndNote&gt;&lt;Cite&gt;&lt;Author&gt;Chukwunulu&lt;/Author&gt;&lt;Year&gt;2019&lt;/Year&gt;&lt;RecNum&gt;17&lt;/RecNum&gt;&lt;DisplayText&gt;(Chukwunulu, Ezeabasili, &amp;amp; Igbodika, 2019)&lt;/DisplayText&gt;&lt;record&gt;&lt;rec-number&gt;17&lt;/rec-number&gt;&lt;foreign-keys&gt;&lt;key app="EN" db-id="s5wfp0f2qf99z4e9dvmvrwt192ff2arrfzfv" timestamp="0"&gt;17&lt;/key&gt;&lt;/foreign-keys&gt;&lt;ref-type name="Journal Article"&gt;17&lt;/ref-type&gt;&lt;contributors&gt;&lt;authors&gt;&lt;author&gt;Chukwunulu, Jessie I&lt;/author&gt;&lt;author&gt;Ezeabasili, Vincent N&lt;/author&gt;&lt;author&gt;Igbodika, MaryAnn N&lt;/author&gt;&lt;/authors&gt;&lt;/contributors&gt;&lt;titles&gt;&lt;title&gt;Risk Management and the performance of commercial banks in Nigeria (1994-2016)&lt;/title&gt;&lt;secondary-title&gt;International Journal of Banking Finance Research&lt;/secondary-title&gt;&lt;/titles&gt;&lt;pages&gt;64-71&lt;/pages&gt;&lt;volume&gt;5&lt;/volume&gt;&lt;number&gt;1&lt;/number&gt;&lt;dates&gt;&lt;year&gt;2019&lt;/year&gt;&lt;/dates&gt;&lt;isbn&gt;2695-186X&lt;/isbn&gt;&lt;urls&gt;&lt;/urls&gt;&lt;/record&gt;&lt;/Cite&gt;&lt;/EndNote&gt;</w:instrText>
      </w:r>
      <w:r w:rsidR="000C4E94" w:rsidRPr="0035336A">
        <w:rPr>
          <w:lang w:val="en"/>
        </w:rPr>
        <w:fldChar w:fldCharType="separate"/>
      </w:r>
      <w:r w:rsidR="000C4E94" w:rsidRPr="0035336A">
        <w:rPr>
          <w:noProof/>
          <w:lang w:val="en"/>
        </w:rPr>
        <w:t>(Chukwunulu, Ezeabasili, &amp; Igbodika, 2019)</w:t>
      </w:r>
      <w:r w:rsidR="000C4E94" w:rsidRPr="0035336A">
        <w:rPr>
          <w:lang w:val="en"/>
        </w:rPr>
        <w:fldChar w:fldCharType="end"/>
      </w:r>
      <w:r w:rsidR="00582853" w:rsidRPr="0035336A">
        <w:rPr>
          <w:lang w:val="en"/>
        </w:rPr>
        <w:t>.</w:t>
      </w:r>
      <w:r w:rsidR="00806260" w:rsidRPr="0035336A">
        <w:rPr>
          <w:lang w:val="en"/>
        </w:rPr>
        <w:t xml:space="preserve"> </w:t>
      </w:r>
      <w:r w:rsidR="003366A3" w:rsidRPr="0035336A">
        <w:rPr>
          <w:lang w:val="en"/>
        </w:rPr>
        <w:fldChar w:fldCharType="begin"/>
      </w:r>
      <w:r w:rsidR="00895548">
        <w:rPr>
          <w:lang w:val="en"/>
        </w:rPr>
        <w:instrText xml:space="preserve"> ADDIN EN.CITE &lt;EndNote&gt;&lt;Cite&gt;&lt;Author&gt;Akinwumi&lt;/Author&gt;&lt;Year&gt;2017&lt;/Year&gt;&lt;RecNum&gt;6&lt;/RecNum&gt;&lt;DisplayText&gt;(Akinwumi, Essien, &amp;amp; Adegboyega, 2017)&lt;/DisplayText&gt;&lt;record&gt;&lt;rec-number&gt;6&lt;/rec-number&gt;&lt;foreign-keys&gt;&lt;key app="EN" db-id="s5wfp0f2qf99z4e9dvmvrwt192ff2arrfzfv" timestamp="0"&gt;6&lt;/key&gt;&lt;/foreign-keys&gt;&lt;ref-type name="Journal Article"&gt;17&lt;/ref-type&gt;&lt;contributors&gt;&lt;authors&gt;&lt;author&gt;Akinwumi, Idowu Akinyele&lt;/author&gt;&lt;author&gt;Essien, JM&lt;/author&gt;&lt;author&gt;Adegboyega, R &lt;/author&gt;&lt;/authors&gt;&lt;/contributors&gt;&lt;titles&gt;&lt;title&gt;Liquidity management and banks performance in Nigeria&lt;/title&gt;&lt;secondary-title&gt;Business Management Economics&lt;/secondary-title&gt;&lt;/titles&gt;&lt;pages&gt;88-98&lt;/pages&gt;&lt;volume&gt;5&lt;/volume&gt;&lt;number&gt;6&lt;/number&gt;&lt;dates&gt;&lt;year&gt;2017&lt;/year&gt;&lt;/dates&gt;&lt;urls&gt;&lt;/urls&gt;&lt;/record&gt;&lt;/Cite&gt;&lt;/EndNote&gt;</w:instrText>
      </w:r>
      <w:r w:rsidR="003366A3" w:rsidRPr="0035336A">
        <w:rPr>
          <w:lang w:val="en"/>
        </w:rPr>
        <w:fldChar w:fldCharType="separate"/>
      </w:r>
      <w:r w:rsidR="003366A3" w:rsidRPr="0035336A">
        <w:rPr>
          <w:noProof/>
          <w:lang w:val="en"/>
        </w:rPr>
        <w:t>(Akinwumi, Essien, &amp; Adegboyega, 2017)</w:t>
      </w:r>
      <w:r w:rsidR="003366A3" w:rsidRPr="0035336A">
        <w:rPr>
          <w:lang w:val="en"/>
        </w:rPr>
        <w:fldChar w:fldCharType="end"/>
      </w:r>
      <w:r w:rsidR="003366A3" w:rsidRPr="00C42C4C">
        <w:rPr>
          <w:lang w:val="en"/>
        </w:rPr>
        <w:t xml:space="preserve"> </w:t>
      </w:r>
      <w:r w:rsidR="00C7682D" w:rsidRPr="00C42C4C">
        <w:rPr>
          <w:lang w:val="en"/>
        </w:rPr>
        <w:t xml:space="preserve">state </w:t>
      </w:r>
      <w:r w:rsidR="00FA3AAB" w:rsidRPr="00C42C4C">
        <w:rPr>
          <w:lang w:val="en"/>
        </w:rPr>
        <w:t>that this</w:t>
      </w:r>
      <w:r w:rsidR="00C7682D" w:rsidRPr="00C42C4C">
        <w:rPr>
          <w:lang w:val="en"/>
        </w:rPr>
        <w:t xml:space="preserve"> theory fails to meet</w:t>
      </w:r>
      <w:r w:rsidR="00C7682D" w:rsidRPr="00C7682D">
        <w:rPr>
          <w:lang w:val="en"/>
        </w:rPr>
        <w:t xml:space="preserve"> emergency cash needs for the lending bank since repayment of loans are done on the basis of installments</w:t>
      </w:r>
      <w:r w:rsidR="00185FFA">
        <w:rPr>
          <w:lang w:val="en"/>
        </w:rPr>
        <w:t xml:space="preserve">. </w:t>
      </w:r>
    </w:p>
    <w:p w14:paraId="02BFD7A8" w14:textId="1C796ED2" w:rsidR="00450D84" w:rsidRPr="00450D84" w:rsidRDefault="00450D84" w:rsidP="00450D84">
      <w:pPr>
        <w:pStyle w:val="Heading4"/>
      </w:pPr>
      <w:r>
        <w:t xml:space="preserve">Commercial Loan Theory </w:t>
      </w:r>
    </w:p>
    <w:p w14:paraId="359A7FD6" w14:textId="19845E85" w:rsidR="00C10355" w:rsidRDefault="004A6BBB" w:rsidP="00735761">
      <w:r>
        <w:t xml:space="preserve">This theory states that bank </w:t>
      </w:r>
      <w:r w:rsidR="00C013ED">
        <w:t>should only make short term, self-liquidating loans. This theory is built around maturity matching principle. As banks have obligations with short maturities that are payable on demand</w:t>
      </w:r>
      <w:r w:rsidR="00764427">
        <w:t xml:space="preserve">, financial assets must be of near-term maturities. </w:t>
      </w:r>
      <w:r w:rsidR="00764427" w:rsidRPr="00764427">
        <w:t xml:space="preserve">High liquidity enhances </w:t>
      </w:r>
      <w:r w:rsidR="00764427" w:rsidRPr="00C10355">
        <w:t xml:space="preserve">efficiency and effectiveness in financial management </w:t>
      </w:r>
      <w:r w:rsidR="00C10355" w:rsidRPr="00C10355">
        <w:fldChar w:fldCharType="begin"/>
      </w:r>
      <w:r w:rsidR="00895548">
        <w:instrText xml:space="preserve"> ADDIN EN.CITE &lt;EndNote&gt;&lt;Cite&gt;&lt;Author&gt;Maness&lt;/Author&gt;&lt;Year&gt;1993&lt;/Year&gt;&lt;RecNum&gt;7&lt;/RecNum&gt;&lt;DisplayText&gt;(Maness &amp;amp; Zietlow, 1993)&lt;/DisplayText&gt;&lt;record&gt;&lt;rec-number&gt;7&lt;/rec-number&gt;&lt;foreign-keys&gt;&lt;key app="EN" db-id="s5wfp0f2qf99z4e9dvmvrwt192ff2arrfzfv" timestamp="0"&gt;7&lt;/key&gt;&lt;/foreign-keys&gt;&lt;ref-type name="Book"&gt;6&lt;/ref-type&gt;&lt;contributors&gt;&lt;authors&gt;&lt;author&gt;Maness, Terry S&lt;/author&gt;&lt;author&gt;Zietlow, John T&lt;/author&gt;&lt;/authors&gt;&lt;/contributors&gt;&lt;titles&gt;&lt;title&gt;Short-term financial management: text, cases, and readings&lt;/title&gt;&lt;/titles&gt;&lt;dates&gt;&lt;year&gt;1993&lt;/year&gt;&lt;/dates&gt;&lt;publisher&gt;West Group&lt;/publisher&gt;&lt;isbn&gt;0314012680&lt;/isbn&gt;&lt;urls&gt;&lt;/urls&gt;&lt;/record&gt;&lt;/Cite&gt;&lt;/EndNote&gt;</w:instrText>
      </w:r>
      <w:r w:rsidR="00C10355" w:rsidRPr="00C10355">
        <w:fldChar w:fldCharType="separate"/>
      </w:r>
      <w:r w:rsidR="00C10355" w:rsidRPr="00C10355">
        <w:rPr>
          <w:noProof/>
        </w:rPr>
        <w:t>(Maness &amp; Zietlow, 1993)</w:t>
      </w:r>
      <w:r w:rsidR="00C10355" w:rsidRPr="00C10355">
        <w:fldChar w:fldCharType="end"/>
      </w:r>
      <w:r w:rsidR="00C10355" w:rsidRPr="00C10355">
        <w:t>.</w:t>
      </w:r>
    </w:p>
    <w:p w14:paraId="58D5419B" w14:textId="749EE873" w:rsidR="00D54B19" w:rsidRDefault="00764427" w:rsidP="00735761">
      <w:r>
        <w:t xml:space="preserve">This theory ignores that transferability feature of financial assets. </w:t>
      </w:r>
      <w:r w:rsidR="00F44A16">
        <w:t xml:space="preserve">The recommendation of this theory also ignores the critical function of </w:t>
      </w:r>
      <w:r w:rsidR="001824D1">
        <w:t>bank in providing development long-term financing</w:t>
      </w:r>
      <w:r w:rsidR="001824D1" w:rsidRPr="001824D1">
        <w:t xml:space="preserve"> </w:t>
      </w:r>
      <w:r w:rsidR="00684DB5" w:rsidRPr="00684DB5">
        <w:fldChar w:fldCharType="begin"/>
      </w:r>
      <w:r w:rsidR="00895548">
        <w:instrText xml:space="preserve"> ADDIN EN.CITE &lt;EndNote&gt;&lt;Cite&gt;&lt;Author&gt;Nwankwo&lt;/Author&gt;&lt;Year&gt;1992&lt;/Year&gt;&lt;RecNum&gt;8&lt;/RecNum&gt;&lt;DisplayText&gt;(Nwankwo, 1992)&lt;/DisplayText&gt;&lt;record&gt;&lt;rec-number&gt;8&lt;/rec-number&gt;&lt;foreign-keys&gt;&lt;key app="EN" db-id="s5wfp0f2qf99z4e9dvmvrwt192ff2arrfzfv" timestamp="0"&gt;8&lt;/key&gt;&lt;/foreign-keys&gt;&lt;ref-type name="Book"&gt;6&lt;/ref-type&gt;&lt;contributors&gt;&lt;authors&gt;&lt;author&gt;Nwankwo, Uchenna&lt;/author&gt;&lt;/authors&gt;&lt;/contributors&gt;&lt;titles&gt;&lt;title&gt;Economic agenda for Nigeria&lt;/title&gt;&lt;/titles&gt;&lt;dates&gt;&lt;year&gt;1992&lt;/year&gt;&lt;/dates&gt;&lt;publisher&gt;Centrist Productions&lt;/publisher&gt;&lt;isbn&gt;9783167103&lt;/isbn&gt;&lt;urls&gt;&lt;/urls&gt;&lt;/record&gt;&lt;/Cite&gt;&lt;Cite&gt;&lt;Author&gt;Nwankwo&lt;/Author&gt;&lt;Year&gt;1992&lt;/Year&gt;&lt;RecNum&gt;8&lt;/RecNum&gt;&lt;record&gt;&lt;rec-number&gt;8&lt;/rec-number&gt;&lt;foreign-keys&gt;&lt;key app="EN" db-id="s5wfp0f2qf99z4e9dvmvrwt192ff2arrfzfv" timestamp="0"&gt;8&lt;/key&gt;&lt;/foreign-keys&gt;&lt;ref-type name="Book"&gt;6&lt;/ref-type&gt;&lt;contributors&gt;&lt;authors&gt;&lt;author&gt;Nwankwo, Uchenna&lt;/author&gt;&lt;/authors&gt;&lt;/contributors&gt;&lt;titles&gt;&lt;title&gt;Economic agenda for Nigeria&lt;/title&gt;&lt;/titles&gt;&lt;dates&gt;&lt;year&gt;1992&lt;/year&gt;&lt;/dates&gt;&lt;publisher&gt;Centrist Productions&lt;/publisher&gt;&lt;isbn&gt;9783167103&lt;/isbn&gt;&lt;urls&gt;&lt;/urls&gt;&lt;/record&gt;&lt;/Cite&gt;&lt;/EndNote&gt;</w:instrText>
      </w:r>
      <w:r w:rsidR="00684DB5" w:rsidRPr="00684DB5">
        <w:fldChar w:fldCharType="separate"/>
      </w:r>
      <w:r w:rsidR="00684DB5" w:rsidRPr="00684DB5">
        <w:rPr>
          <w:noProof/>
        </w:rPr>
        <w:t>(Nwankwo, 1992)</w:t>
      </w:r>
      <w:r w:rsidR="00684DB5" w:rsidRPr="00684DB5">
        <w:fldChar w:fldCharType="end"/>
      </w:r>
    </w:p>
    <w:p w14:paraId="5C433D35" w14:textId="2756E542" w:rsidR="00BD5ECF" w:rsidRDefault="00962790" w:rsidP="002B430C">
      <w:pPr>
        <w:pStyle w:val="Heading3"/>
      </w:pPr>
      <w:r>
        <w:t>Previous Empirical Studies</w:t>
      </w:r>
    </w:p>
    <w:p w14:paraId="141A2BEB" w14:textId="16F6CC87" w:rsidR="008341DC" w:rsidRDefault="008341DC" w:rsidP="00065089">
      <w:r w:rsidRPr="003311D5">
        <w:fldChar w:fldCharType="begin"/>
      </w:r>
      <w:r w:rsidRPr="003311D5">
        <w:instrText xml:space="preserve"> ADDIN EN.CITE &lt;EndNote&gt;&lt;Cite&gt;&lt;Author&gt;Gabbi&lt;/Author&gt;&lt;Year&gt;2004&lt;/Year&gt;&lt;RecNum&gt;5&lt;/RecNum&gt;&lt;DisplayText&gt;(Gabbi, 2004)&lt;/DisplayText&gt;&lt;record&gt;&lt;rec-number&gt;5&lt;/rec-number&gt;&lt;foreign-keys&gt;&lt;key app="EN" db-id="z9fpef0w85zaefe9d2ppz5fdr09av05rvpfp" timestamp="1597655081"&gt;5&lt;/key&gt;&lt;/foreign-keys&gt;&lt;ref-type name="Journal Article"&gt;17&lt;/ref-type&gt;&lt;contributors&gt;&lt;authors&gt;&lt;author&gt;Gabbi, Giampaolo&lt;/author&gt;&lt;/authors&gt;&lt;/contributors&gt;&lt;titles&gt;&lt;title&gt;Measuring liquidity risk in a banking management framework&lt;/title&gt;&lt;secondary-title&gt;Managerial Finance&lt;/secondary-title&gt;&lt;/titles&gt;&lt;periodical&gt;&lt;full-title&gt;Managerial Finance&lt;/full-title&gt;&lt;/periodical&gt;&lt;dates&gt;&lt;year&gt;2004&lt;/year&gt;&lt;/dates&gt;&lt;urls&gt;&lt;/urls&gt;&lt;/record&gt;&lt;/Cite&gt;&lt;/EndNote&gt;</w:instrText>
      </w:r>
      <w:r w:rsidRPr="003311D5">
        <w:fldChar w:fldCharType="separate"/>
      </w:r>
      <w:r w:rsidRPr="003311D5">
        <w:rPr>
          <w:noProof/>
        </w:rPr>
        <w:t>(Gabbi, 2004)</w:t>
      </w:r>
      <w:r w:rsidRPr="003311D5">
        <w:fldChar w:fldCharType="end"/>
      </w:r>
      <w:r w:rsidRPr="003311D5">
        <w:t xml:space="preserve"> focus on the probability of reducing </w:t>
      </w:r>
      <w:r>
        <w:t>l</w:t>
      </w:r>
      <w:r w:rsidRPr="003311D5">
        <w:t>iquidity risk especially for large banks</w:t>
      </w:r>
      <w:r>
        <w:t xml:space="preserve"> </w:t>
      </w:r>
      <w:r w:rsidRPr="003311D5">
        <w:t xml:space="preserve">that are capable </w:t>
      </w:r>
      <w:r>
        <w:t xml:space="preserve">of </w:t>
      </w:r>
      <w:r w:rsidRPr="003311D5">
        <w:t>both manag</w:t>
      </w:r>
      <w:r>
        <w:t>ing</w:t>
      </w:r>
      <w:r w:rsidRPr="003311D5">
        <w:t xml:space="preserve"> additional market information and influenc</w:t>
      </w:r>
      <w:r>
        <w:t>ing</w:t>
      </w:r>
      <w:r w:rsidRPr="003311D5">
        <w:t xml:space="preserve"> monetary policy functions</w:t>
      </w:r>
      <w:r>
        <w:t xml:space="preserve">. He </w:t>
      </w:r>
      <w:r w:rsidRPr="003311D5">
        <w:t>conclude</w:t>
      </w:r>
      <w:r>
        <w:t xml:space="preserve">s that the relationship between </w:t>
      </w:r>
      <w:r w:rsidRPr="003311D5">
        <w:t>liquidity risk and bank size</w:t>
      </w:r>
      <w:r>
        <w:t xml:space="preserve"> is negative</w:t>
      </w:r>
      <w:bookmarkStart w:id="2" w:name="_Hlk48661480"/>
      <w:r>
        <w:t xml:space="preserve">. </w:t>
      </w:r>
      <w:r>
        <w:fldChar w:fldCharType="begin"/>
      </w:r>
      <w:r>
        <w:instrText xml:space="preserve"> ADDIN EN.CITE &lt;EndNote&gt;&lt;Cite&gt;&lt;Author&gt;Tarawneh&lt;/Author&gt;&lt;Year&gt;2006&lt;/Year&gt;&lt;RecNum&gt;9&lt;/RecNum&gt;&lt;DisplayText&gt;(Tarawneh, 2006)&lt;/DisplayText&gt;&lt;record&gt;&lt;rec-number&gt;9&lt;/rec-number&gt;&lt;foreign-keys&gt;&lt;key app="EN" db-id="z9fpef0w85zaefe9d2ppz5fdr09av05rvpfp" timestamp="1597656996"&gt;9&lt;/key&gt;&lt;/foreign-keys&gt;&lt;ref-type name="Journal Article"&gt;17&lt;/ref-type&gt;&lt;contributors&gt;&lt;authors&gt;&lt;author&gt;Tarawneh, Medhat&lt;/author&gt;&lt;/authors&gt;&lt;/contributors&gt;&lt;titles&gt;&lt;title&gt;A comparison of financial performance in the banking sector: Some evidence from Omani commercial banks&lt;/title&gt;&lt;secondary-title&gt;International Research Journal of Finance and Economics&lt;/secondary-title&gt;&lt;/titles&gt;&lt;periodical&gt;&lt;full-title&gt;International Research Journal of Finance and Economics&lt;/full-title&gt;&lt;/periodical&gt;&lt;pages&gt;101-112&lt;/pages&gt;&lt;volume&gt;3&lt;/volume&gt;&lt;number&gt;3&lt;/number&gt;&lt;dates&gt;&lt;year&gt;2006&lt;/year&gt;&lt;/dates&gt;&lt;urls&gt;&lt;/urls&gt;&lt;/record&gt;&lt;/Cite&gt;&lt;/EndNote&gt;</w:instrText>
      </w:r>
      <w:r>
        <w:fldChar w:fldCharType="separate"/>
      </w:r>
      <w:r>
        <w:rPr>
          <w:noProof/>
        </w:rPr>
        <w:t>(Tarawneh, 2006)</w:t>
      </w:r>
      <w:r>
        <w:fldChar w:fldCharType="end"/>
      </w:r>
      <w:bookmarkEnd w:id="2"/>
      <w:r w:rsidRPr="00CA1E34">
        <w:t xml:space="preserve"> f</w:t>
      </w:r>
      <w:r>
        <w:t xml:space="preserve">inds </w:t>
      </w:r>
      <w:r w:rsidRPr="00CA1E34">
        <w:t xml:space="preserve">that capital adequacy </w:t>
      </w:r>
      <w:r w:rsidRPr="00215A26">
        <w:t xml:space="preserve">ratio is insignificant in case of Islamic banks. </w:t>
      </w:r>
    </w:p>
    <w:p w14:paraId="4B139D41" w14:textId="10ABA5C6" w:rsidR="008341DC" w:rsidRPr="00E111D2" w:rsidRDefault="008341DC" w:rsidP="002B430C">
      <w:r w:rsidRPr="00215A26">
        <w:t xml:space="preserve"> </w:t>
      </w:r>
      <w:bookmarkStart w:id="3" w:name="_Hlk48661757"/>
      <w:r w:rsidRPr="00215A26">
        <w:fldChar w:fldCharType="begin"/>
      </w:r>
      <w:r w:rsidRPr="00215A26">
        <w:instrText xml:space="preserve"> ADDIN EN.CITE &lt;EndNote&gt;&lt;Cite&gt;&lt;Author&gt;Khan&lt;/Author&gt;&lt;Year&gt;2008&lt;/Year&gt;&lt;RecNum&gt;7&lt;/RecNum&gt;&lt;DisplayText&gt;(Khan, Bhatti, Rosly, &amp;amp; Zaini, 2008)&lt;/DisplayText&gt;&lt;record&gt;&lt;rec-number&gt;7&lt;/rec-number&gt;&lt;foreign-keys&gt;&lt;key app="EN" db-id="z9fpef0w85zaefe9d2ppz5fdr09av05rvpfp" timestamp="1597656569"&gt;7&lt;/key&gt;&lt;/foreign-keys&gt;&lt;ref-type name="Journal Article"&gt;17&lt;/ref-type&gt;&lt;contributors&gt;&lt;authors&gt;&lt;author&gt;Khan, M Mansoor&lt;/author&gt;&lt;author&gt;Bhatti, M Ishaq&lt;/author&gt;&lt;author&gt;Rosly, Saiful Azhar&lt;/author&gt;&lt;author&gt;Zaini, Mohammad Ashadi Mohd&lt;/author&gt;&lt;/authors&gt;&lt;/contributors&gt;&lt;titles&gt;&lt;title&gt;Risk‐return analysis of Islamic banks&amp;apos; investment deposits and shareholders&amp;apos; fund&lt;/title&gt;&lt;secondary-title&gt;Managerial finance&lt;/secondary-title&gt;&lt;/titles&gt;&lt;periodical&gt;&lt;full-title&gt;Managerial Finance&lt;/full-title&gt;&lt;/periodical&gt;&lt;dates&gt;&lt;year&gt;2008&lt;/year&gt;&lt;/dates&gt;&lt;urls&gt;&lt;/urls&gt;&lt;/record&gt;&lt;/Cite&gt;&lt;/EndNote&gt;</w:instrText>
      </w:r>
      <w:r w:rsidRPr="00215A26">
        <w:fldChar w:fldCharType="separate"/>
      </w:r>
      <w:r w:rsidRPr="00215A26">
        <w:rPr>
          <w:noProof/>
        </w:rPr>
        <w:t>(Khan, Bhatti, Rosly, &amp; Zaini, 2008)</w:t>
      </w:r>
      <w:r w:rsidRPr="00215A26">
        <w:fldChar w:fldCharType="end"/>
      </w:r>
      <w:r w:rsidRPr="00215A26">
        <w:t xml:space="preserve"> </w:t>
      </w:r>
      <w:bookmarkEnd w:id="3"/>
      <w:r w:rsidRPr="00215A26">
        <w:t xml:space="preserve"> use  return on equity as </w:t>
      </w:r>
      <w:r w:rsidR="00215A26" w:rsidRPr="00215A26">
        <w:t>a measure of liquidity risk</w:t>
      </w:r>
      <w:r w:rsidRPr="00215A26">
        <w:t xml:space="preserve"> to compare liquidity risk between commercial and Islamic banks. They find out positive </w:t>
      </w:r>
      <w:r w:rsidRPr="00CB2F53">
        <w:t xml:space="preserve">and significant relation </w:t>
      </w:r>
      <w:r w:rsidR="004C07FB">
        <w:t>of</w:t>
      </w:r>
      <w:r w:rsidRPr="00CB2F53">
        <w:t xml:space="preserve"> Islamic banks, but positive and insignificant </w:t>
      </w:r>
      <w:r w:rsidR="004C07FB">
        <w:t>of</w:t>
      </w:r>
      <w:r w:rsidRPr="00CB2F53">
        <w:t xml:space="preserve"> conventional banks. These results are in accordance with the findings of</w:t>
      </w:r>
      <w:r w:rsidR="003A577A" w:rsidRPr="00CB2F53">
        <w:t xml:space="preserve"> </w:t>
      </w:r>
      <w:r w:rsidRPr="00CB2F53">
        <w:fldChar w:fldCharType="begin"/>
      </w:r>
      <w:r w:rsidRPr="00CB2F53">
        <w:instrText xml:space="preserve"> ADDIN EN.CITE &lt;EndNote&gt;&lt;Cite&gt;&lt;Author&gt;Siddiqui&lt;/Author&gt;&lt;Year&gt;2008&lt;/Year&gt;&lt;RecNum&gt;8&lt;/RecNum&gt;&lt;DisplayText&gt;(Siddiqui, 2008)&lt;/DisplayText&gt;&lt;record&gt;&lt;rec-number&gt;8&lt;/rec-number&gt;&lt;foreign-keys&gt;&lt;key app="EN" db-id="z9fpef0w85zaefe9d2ppz5fdr09av05rvpfp" timestamp="1597656839"&gt;8&lt;/key&gt;&lt;/foreign-keys&gt;&lt;ref-type name="Journal Article"&gt;17&lt;/ref-type&gt;&lt;contributors&gt;&lt;authors&gt;&lt;author&gt;Siddiqui, Anjum&lt;/author&gt;&lt;/authors&gt;&lt;/contributors&gt;&lt;titles&gt;&lt;title&gt;Financial contracts, risk and performance of Islamic banking&lt;/title&gt;&lt;secondary-title&gt;Managerial finance&lt;/secondary-title&gt;&lt;/titles&gt;&lt;periodical&gt;&lt;full-title&gt;Managerial Finance&lt;/full-title&gt;&lt;/periodical&gt;&lt;pages&gt;680-694&lt;/pages&gt;&lt;volume&gt;34&lt;/volume&gt;&lt;number&gt;10&lt;/number&gt;&lt;dates&gt;&lt;year&gt;2008&lt;/year&gt;&lt;/dates&gt;&lt;urls&gt;&lt;/urls&gt;&lt;/record&gt;&lt;/Cite&gt;&lt;/EndNote&gt;</w:instrText>
      </w:r>
      <w:r w:rsidRPr="00CB2F53">
        <w:fldChar w:fldCharType="separate"/>
      </w:r>
      <w:r w:rsidRPr="00CB2F53">
        <w:rPr>
          <w:noProof/>
        </w:rPr>
        <w:t>(Siddiqui, 2008)</w:t>
      </w:r>
      <w:r w:rsidRPr="00CB2F53">
        <w:fldChar w:fldCharType="end"/>
      </w:r>
      <w:r w:rsidRPr="00CB2F53">
        <w:t xml:space="preserve">. </w:t>
      </w:r>
      <w:r w:rsidRPr="00CB2F53">
        <w:fldChar w:fldCharType="begin"/>
      </w:r>
      <w:r w:rsidR="00895548">
        <w:instrText xml:space="preserve"> ADDIN EN.CITE &lt;EndNote&gt;&lt;Cite&gt;&lt;Author&gt;Isshaq&lt;/Author&gt;&lt;RecNum&gt;1&lt;/RecNum&gt;&lt;DisplayText&gt;(Isshaq; Isshaq &amp;amp; Bokpin, 2009)&lt;/DisplayText&gt;&lt;record&gt;&lt;rec-number&gt;1&lt;/rec-number&gt;&lt;foreign-keys&gt;&lt;key app="EN" db-id="5252ewwwy2r222eves6xerw6pvz5p9x2ez5r" timestamp="1597658174"&gt;1&lt;/key&gt;&lt;/foreign-keys&gt;&lt;ref-type name="Journal Article"&gt;17&lt;/ref-type&gt;&lt;contributors&gt;&lt;authors&gt;&lt;author&gt;Isshaq, Zangina&lt;/author&gt;&lt;/authors&gt;&lt;/contributors&gt;&lt;titles&gt;&lt;title&gt;Bokpin. Godfred A., Onumah, Joseph Mensah,(2009)“Corporate governance, ownership structure, cash holdings, and firm value on the Ghana Stock Exchange”&lt;/title&gt;&lt;secondary-title&gt;The Journal of Risk Finance&lt;/secondary-title&gt;&lt;/titles&gt;&lt;periodical&gt;&lt;full-title&gt;The Journal of Risk Finance&lt;/full-title&gt;&lt;/periodical&gt;&lt;pages&gt;488-499&lt;/pages&gt;&lt;volume&gt;10&lt;/volume&gt;&lt;number&gt;5&lt;/number&gt;&lt;dates&gt;&lt;/dates&gt;&lt;urls&gt;&lt;/urls&gt;&lt;/record&gt;&lt;/Cite&gt;&lt;Cite&gt;&lt;Author&gt;Isshaq&lt;/Author&gt;&lt;Year&gt;2009&lt;/Year&gt;&lt;RecNum&gt;9&lt;/RecNum&gt;&lt;record&gt;&lt;rec-number&gt;9&lt;/rec-number&gt;&lt;foreign-keys&gt;&lt;key app="EN" db-id="s5wfp0f2qf99z4e9dvmvrwt192ff2arrfzfv" timestamp="0"&gt;9&lt;/key&gt;&lt;/foreign-keys&gt;&lt;ref-type name="Journal Article"&gt;17&lt;/ref-type&gt;&lt;contributors&gt;&lt;authors&gt;&lt;author&gt;Isshaq, Zangina&lt;/author&gt;&lt;author&gt;Bokpin, Godfred Alufar &lt;/author&gt;&lt;/authors&gt;&lt;/contributors&gt;&lt;titles&gt;&lt;title&gt;Corporate liquidity management of listed firms in Ghana&lt;/title&gt;&lt;secondary-title&gt;Asia-Pacific Journal of Business Administration&lt;/secondary-title&gt;&lt;/titles&gt;&lt;dates&gt;&lt;year&gt;2009&lt;/year&gt;&lt;/dates&gt;&lt;isbn&gt;1757-4323&lt;/isbn&gt;&lt;urls&gt;&lt;/urls&gt;&lt;/record&gt;&lt;/Cite&gt;&lt;/EndNote&gt;</w:instrText>
      </w:r>
      <w:r w:rsidRPr="00CB2F53">
        <w:fldChar w:fldCharType="separate"/>
      </w:r>
      <w:r w:rsidR="00CB2F53" w:rsidRPr="00CB2F53">
        <w:rPr>
          <w:noProof/>
        </w:rPr>
        <w:t>(Isshaq; Isshaq &amp; Bokpin, 2009)</w:t>
      </w:r>
      <w:r w:rsidRPr="00CB2F53">
        <w:fldChar w:fldCharType="end"/>
      </w:r>
      <w:r w:rsidRPr="00CB2F53">
        <w:t xml:space="preserve"> test the determinants of liquidity management </w:t>
      </w:r>
      <w:r w:rsidR="003F6E7F">
        <w:t xml:space="preserve">of </w:t>
      </w:r>
      <w:r w:rsidR="003A577A" w:rsidRPr="00CB2F53">
        <w:t xml:space="preserve">banks </w:t>
      </w:r>
      <w:r w:rsidR="003F6E7F" w:rsidRPr="00CB2F53">
        <w:t xml:space="preserve">in Ghana </w:t>
      </w:r>
      <w:r w:rsidR="003F6E7F">
        <w:t xml:space="preserve">during the period </w:t>
      </w:r>
      <w:r w:rsidR="003A577A" w:rsidRPr="00CB2F53">
        <w:t>from</w:t>
      </w:r>
      <w:r w:rsidRPr="00CB2F53">
        <w:t xml:space="preserve"> 1991 to </w:t>
      </w:r>
      <w:r w:rsidRPr="00CB2F53">
        <w:lastRenderedPageBreak/>
        <w:t xml:space="preserve">2007.  </w:t>
      </w:r>
      <w:r w:rsidR="00AA11B5">
        <w:t>They</w:t>
      </w:r>
      <w:r w:rsidRPr="00E111D2">
        <w:t xml:space="preserve"> </w:t>
      </w:r>
      <w:r w:rsidR="000D1168" w:rsidRPr="00E111D2">
        <w:t>show</w:t>
      </w:r>
      <w:r w:rsidRPr="00E111D2">
        <w:t xml:space="preserve"> that </w:t>
      </w:r>
      <w:r w:rsidR="004C07FB" w:rsidRPr="00E111D2">
        <w:t>size of the bank</w:t>
      </w:r>
      <w:r w:rsidR="004C07FB">
        <w:t xml:space="preserve">, </w:t>
      </w:r>
      <w:r w:rsidR="004C07FB" w:rsidRPr="00E111D2">
        <w:t xml:space="preserve"> return on assets</w:t>
      </w:r>
      <w:r w:rsidR="004C07FB">
        <w:t>,</w:t>
      </w:r>
      <w:r w:rsidR="004C07FB" w:rsidRPr="00E111D2">
        <w:t xml:space="preserve"> </w:t>
      </w:r>
      <w:r w:rsidRPr="00E111D2">
        <w:t>networking capital</w:t>
      </w:r>
      <w:r w:rsidR="004C07FB">
        <w:t xml:space="preserve"> </w:t>
      </w:r>
      <w:r w:rsidRPr="00E111D2">
        <w:t xml:space="preserve">and target liquidity level are </w:t>
      </w:r>
      <w:r w:rsidR="004C07FB">
        <w:t xml:space="preserve">major </w:t>
      </w:r>
      <w:r w:rsidRPr="00E111D2">
        <w:t>determinates of liquidity management</w:t>
      </w:r>
      <w:r w:rsidR="00A80023">
        <w:t>.</w:t>
      </w:r>
      <w:r w:rsidRPr="00E111D2">
        <w:t xml:space="preserve"> </w:t>
      </w:r>
    </w:p>
    <w:p w14:paraId="4A849A02" w14:textId="635A7DBF" w:rsidR="008341DC" w:rsidRPr="00FB265D" w:rsidRDefault="008341DC" w:rsidP="002B430C">
      <w:r w:rsidRPr="00215A26">
        <w:fldChar w:fldCharType="begin"/>
      </w:r>
      <w:r w:rsidRPr="00215A26">
        <w:instrText xml:space="preserve"> ADDIN EN.CITE &lt;EndNote&gt;&lt;Cite&gt;&lt;Author&gt;Sawada&lt;/Author&gt;&lt;Year&gt;2010&lt;/Year&gt;&lt;RecNum&gt;6&lt;/RecNum&gt;&lt;DisplayText&gt;(Sawada, 2010)&lt;/DisplayText&gt;&lt;record&gt;&lt;rec-number&gt;6&lt;/rec-number&gt;&lt;foreign-keys&gt;&lt;key app="EN" db-id="z9fpef0w85zaefe9d2ppz5fdr09av05rvpfp" timestamp="1597655936"&gt;6&lt;/key&gt;&lt;/foreign-keys&gt;&lt;ref-type name="Journal Article"&gt;17&lt;/ref-type&gt;&lt;contributors&gt;&lt;authors&gt;&lt;author&gt;Sawada, Michiru&lt;/author&gt;&lt;/authors&gt;&lt;/contributors&gt;&lt;titles&gt;&lt;title&gt;Liquidity risk and bank portfolio management in a financial system without deposit insurance: Empirical evidence from prewar Japan&lt;/title&gt;&lt;secondary-title&gt;International Review of Economics &amp;amp; Finance&lt;/secondary-title&gt;&lt;/titles&gt;&lt;periodical&gt;&lt;full-title&gt;International Review of Economics &amp;amp; Finance&lt;/full-title&gt;&lt;/periodical&gt;&lt;pages&gt;392-406&lt;/pages&gt;&lt;volume&gt;19&lt;/volume&gt;&lt;number&gt;3&lt;/number&gt;&lt;dates&gt;&lt;year&gt;2010&lt;/year&gt;&lt;/dates&gt;&lt;isbn&gt;1059-0560&lt;/isbn&gt;&lt;urls&gt;&lt;/urls&gt;&lt;/record&gt;&lt;/Cite&gt;&lt;/EndNote&gt;</w:instrText>
      </w:r>
      <w:r w:rsidRPr="00215A26">
        <w:fldChar w:fldCharType="separate"/>
      </w:r>
      <w:r w:rsidRPr="00215A26">
        <w:rPr>
          <w:noProof/>
        </w:rPr>
        <w:t>(Sawada, 2010)</w:t>
      </w:r>
      <w:r w:rsidRPr="00215A26">
        <w:fldChar w:fldCharType="end"/>
      </w:r>
      <w:r w:rsidRPr="00215A26">
        <w:t xml:space="preserve"> us</w:t>
      </w:r>
      <w:r w:rsidR="00A80023" w:rsidRPr="00215A26">
        <w:t xml:space="preserve">ing </w:t>
      </w:r>
      <w:r w:rsidRPr="00215A26">
        <w:t xml:space="preserve">cash to assets ratio </w:t>
      </w:r>
      <w:r w:rsidR="00A80023" w:rsidRPr="00215A26">
        <w:t>finds a</w:t>
      </w:r>
      <w:r w:rsidRPr="00215A26">
        <w:t xml:space="preserve"> positive relation between size of bank and liquidity risk when this ratio is used as independent variable</w:t>
      </w:r>
      <w:bookmarkStart w:id="4" w:name="_Hlk48661803"/>
      <w:r w:rsidRPr="00215A26">
        <w:t>.</w:t>
      </w:r>
      <w:r w:rsidR="00B71B8E">
        <w:t xml:space="preserve"> </w:t>
      </w:r>
      <w:r w:rsidRPr="00215A26">
        <w:fldChar w:fldCharType="begin"/>
      </w:r>
      <w:r w:rsidRPr="00215A26">
        <w:instrText xml:space="preserve"> ADDIN EN.CITE &lt;EndNote&gt;&lt;Cite&gt;&lt;Author&gt;Ojo&lt;/Author&gt;&lt;Year&gt;2010&lt;/Year&gt;&lt;RecNum&gt;10&lt;/RecNum&gt;&lt;DisplayText&gt;(Ojo, 2010)&lt;/DisplayText&gt;&lt;record&gt;&lt;rec-number&gt;10&lt;/rec-number&gt;&lt;foreign-keys&gt;&lt;key app="EN" db-id="z9fpef0w85zaefe9d2ppz5fdr09av05rvpfp" timestamp="1597657248"&gt;10&lt;/key&gt;&lt;/foreign-keys&gt;&lt;ref-type name="Journal Article"&gt;17&lt;/ref-type&gt;&lt;contributors&gt;&lt;authors&gt;&lt;author&gt;Ojo, Marianne&lt;/author&gt;&lt;/authors&gt;&lt;/contributors&gt;&lt;titles&gt;&lt;title&gt;Risk management by the Basel Committee&lt;/title&gt;&lt;secondary-title&gt;Journal of Financial Regulation and Compliance&lt;/secondary-title&gt;&lt;/titles&gt;&lt;periodical&gt;&lt;full-title&gt;Journal of Financial Regulation and Compliance&lt;/full-title&gt;&lt;/periodical&gt;&lt;dates&gt;&lt;year&gt;2010&lt;/year&gt;&lt;/dates&gt;&lt;isbn&gt;1358-1988&lt;/isbn&gt;&lt;urls&gt;&lt;/urls&gt;&lt;/record&gt;&lt;/Cite&gt;&lt;/EndNote&gt;</w:instrText>
      </w:r>
      <w:r w:rsidRPr="00215A26">
        <w:fldChar w:fldCharType="separate"/>
      </w:r>
      <w:r w:rsidRPr="00215A26">
        <w:rPr>
          <w:noProof/>
        </w:rPr>
        <w:t>(Ojo, 2010)</w:t>
      </w:r>
      <w:r w:rsidRPr="00215A26">
        <w:fldChar w:fldCharType="end"/>
      </w:r>
      <w:bookmarkEnd w:id="4"/>
      <w:r w:rsidRPr="00215A26">
        <w:t xml:space="preserve"> </w:t>
      </w:r>
      <w:r w:rsidR="00684DB5" w:rsidRPr="00215A26">
        <w:t>use</w:t>
      </w:r>
      <w:r w:rsidR="00684DB5">
        <w:t xml:space="preserve">s </w:t>
      </w:r>
      <w:r w:rsidR="00684DB5" w:rsidRPr="00215A26">
        <w:t>capital</w:t>
      </w:r>
      <w:r w:rsidRPr="00215A26">
        <w:t xml:space="preserve"> adequacy ratio as defined in the Basel II as a measure</w:t>
      </w:r>
      <w:r w:rsidR="00A80023" w:rsidRPr="00215A26">
        <w:t xml:space="preserve"> of liquidity </w:t>
      </w:r>
      <w:r w:rsidRPr="00215A26">
        <w:t xml:space="preserve">risk. </w:t>
      </w:r>
      <w:r>
        <w:t>He</w:t>
      </w:r>
      <w:r w:rsidRPr="00AF3519">
        <w:t xml:space="preserve"> find</w:t>
      </w:r>
      <w:r>
        <w:t>s</w:t>
      </w:r>
      <w:r w:rsidRPr="00AF3519">
        <w:t xml:space="preserve"> out that capital adequacy ratio </w:t>
      </w:r>
      <w:r w:rsidR="00A80023">
        <w:t xml:space="preserve"> has a </w:t>
      </w:r>
      <w:r w:rsidRPr="00AF3519">
        <w:t xml:space="preserve">positive and statistically significant </w:t>
      </w:r>
      <w:r w:rsidR="00A80023">
        <w:t xml:space="preserve">relationship with liquidity risk for </w:t>
      </w:r>
      <w:r w:rsidRPr="00AF3519">
        <w:t>conventional banks</w:t>
      </w:r>
      <w:r w:rsidRPr="00A80023">
        <w:t xml:space="preserve">. </w:t>
      </w:r>
      <w:r w:rsidRPr="00E60225">
        <w:fldChar w:fldCharType="begin"/>
      </w:r>
      <w:r>
        <w:instrText xml:space="preserve"> ADDIN EN.CITE &lt;EndNote&gt;&lt;Cite&gt;&lt;Author&gt;Ismal&lt;/Author&gt;&lt;Year&gt;2010&lt;/Year&gt;&lt;RecNum&gt;2&lt;/RecNum&gt;&lt;DisplayText&gt;(Ismal, 2010)&lt;/DisplayText&gt;&lt;record&gt;&lt;rec-number&gt;2&lt;/rec-number&gt;&lt;foreign-keys&gt;&lt;key app="EN" db-id="5252ewwwy2r222eves6xerw6pvz5p9x2ez5r" timestamp="1597658747"&gt;2&lt;/key&gt;&lt;/foreign-keys&gt;&lt;ref-type name="Journal Article"&gt;17&lt;/ref-type&gt;&lt;contributors&gt;&lt;authors&gt;&lt;author&gt;Ismal, Rifki&lt;/author&gt;&lt;/authors&gt;&lt;/contributors&gt;&lt;titles&gt;&lt;title&gt;Assessment of liquidity management in Islamic banking industry&lt;/title&gt;&lt;secondary-title&gt;International Journal of Islamic and Middle Eastern Finance and Management&lt;/secondary-title&gt;&lt;/titles&gt;&lt;periodical&gt;&lt;full-title&gt;International Journal of Islamic and Middle Eastern Finance and Management&lt;/full-title&gt;&lt;/periodical&gt;&lt;dates&gt;&lt;year&gt;2010&lt;/year&gt;&lt;/dates&gt;&lt;isbn&gt;1753-8394&lt;/isbn&gt;&lt;urls&gt;&lt;/urls&gt;&lt;/record&gt;&lt;/Cite&gt;&lt;/EndNote&gt;</w:instrText>
      </w:r>
      <w:r w:rsidRPr="00E60225">
        <w:fldChar w:fldCharType="separate"/>
      </w:r>
      <w:r>
        <w:rPr>
          <w:noProof/>
        </w:rPr>
        <w:t>(Ismal, 2010)</w:t>
      </w:r>
      <w:r w:rsidRPr="00E60225">
        <w:fldChar w:fldCharType="end"/>
      </w:r>
      <w:r w:rsidRPr="00E60225">
        <w:t xml:space="preserve"> measured liquidity </w:t>
      </w:r>
      <w:r w:rsidR="00A80023" w:rsidRPr="00E60225">
        <w:t xml:space="preserve">risk </w:t>
      </w:r>
      <w:r w:rsidR="00A80023">
        <w:t xml:space="preserve">of </w:t>
      </w:r>
      <w:r w:rsidR="00A80023" w:rsidRPr="00E60225">
        <w:t>Indonesian</w:t>
      </w:r>
      <w:r w:rsidRPr="00E60225">
        <w:t xml:space="preserve"> Islamic banks from 2000 to 2007. The results indicate that liquidity risk management awards the “good” grade for managing the liquidity risk in Indonesian Islamic banks.</w:t>
      </w:r>
    </w:p>
    <w:p w14:paraId="3150995B" w14:textId="4AC9B979" w:rsidR="008341DC" w:rsidRPr="003404EA" w:rsidRDefault="00460CC7" w:rsidP="002B430C">
      <w:pPr>
        <w:rPr>
          <w:rFonts w:cs="Simplified Arabic"/>
          <w:color w:val="000000" w:themeColor="text1"/>
        </w:rPr>
      </w:pPr>
      <w:r>
        <w:rPr>
          <w:rFonts w:cs="Simplified Arabic"/>
          <w:color w:val="000000" w:themeColor="text1"/>
        </w:rPr>
        <w:t xml:space="preserve">Different liquidity risk </w:t>
      </w:r>
      <w:r w:rsidR="00A415CE">
        <w:rPr>
          <w:rFonts w:cs="Simplified Arabic"/>
          <w:color w:val="000000" w:themeColor="text1"/>
        </w:rPr>
        <w:t xml:space="preserve">measures </w:t>
      </w:r>
      <w:r w:rsidR="0076605D">
        <w:rPr>
          <w:rFonts w:cs="Simplified Arabic"/>
          <w:color w:val="000000" w:themeColor="text1"/>
        </w:rPr>
        <w:t>have</w:t>
      </w:r>
      <w:r w:rsidR="00A415CE">
        <w:rPr>
          <w:rFonts w:cs="Simplified Arabic"/>
          <w:color w:val="000000" w:themeColor="text1"/>
        </w:rPr>
        <w:t xml:space="preserve"> been used in the literature. </w:t>
      </w:r>
      <w:r w:rsidR="008341DC" w:rsidRPr="003404EA">
        <w:rPr>
          <w:rFonts w:cs="Simplified Arabic"/>
          <w:color w:val="000000" w:themeColor="text1"/>
        </w:rPr>
        <w:fldChar w:fldCharType="begin"/>
      </w:r>
      <w:r w:rsidR="008341DC">
        <w:rPr>
          <w:rFonts w:cs="Simplified Arabic"/>
          <w:color w:val="000000" w:themeColor="text1"/>
        </w:rPr>
        <w:instrText xml:space="preserve"> ADDIN EN.CITE &lt;EndNote&gt;&lt;Cite&gt;&lt;Author&gt;LeJeune&lt;/Author&gt;&lt;Year&gt;2010&lt;/Year&gt;&lt;RecNum&gt;6&lt;/RecNum&gt;&lt;DisplayText&gt;(Chen, Shen, Kao, &amp;amp; Yeh, 2018; LeJeune, 2010)&lt;/DisplayText&gt;&lt;record&gt;&lt;rec-number&gt;6&lt;/rec-number&gt;&lt;foreign-keys&gt;&lt;key app="EN" db-id="ztsvtds96tatwpezaf752f9srez5x0prfwtd" timestamp="1597569696"&gt;6&lt;/key&gt;&lt;/foreign-keys&gt;&lt;ref-type name="Journal Article"&gt;17&lt;/ref-type&gt;&lt;contributors&gt;&lt;authors&gt;&lt;author&gt;LeJeune, Adena T&lt;/author&gt;&lt;/authors&gt;&lt;/contributors&gt;&lt;titles&gt;&lt;title&gt;Risks Facing Financial Institutions: Liquidity, Foreign Exchange, and Sovereign Risks&lt;/title&gt;&lt;secondary-title&gt;International Journal of the Academic Business World&lt;/secondary-title&gt;&lt;/titles&gt;&lt;periodical&gt;&lt;full-title&gt;International Journal of the Academic Business World&lt;/full-title&gt;&lt;/periodical&gt;&lt;volume&gt;4&lt;/volume&gt;&lt;number&gt;2&lt;/number&gt;&lt;dates&gt;&lt;year&gt;2010&lt;/year&gt;&lt;/dates&gt;&lt;isbn&gt;1942-6089&lt;/isbn&gt;&lt;urls&gt;&lt;/urls&gt;&lt;/record&gt;&lt;/Cite&gt;&lt;Cite&gt;&lt;Author&gt;Chen&lt;/Author&gt;&lt;Year&gt;2018&lt;/Year&gt;&lt;RecNum&gt;7&lt;/RecNum&gt;&lt;record&gt;&lt;rec-number&gt;7&lt;/rec-number&gt;&lt;foreign-keys&gt;&lt;key app="EN" db-id="ztsvtds96tatwpezaf752f9srez5x0prfwtd" timestamp="1597569816"&gt;7&lt;/key&gt;&lt;/foreign-keys&gt;&lt;ref-type name="Journal Article"&gt;17&lt;/ref-type&gt;&lt;contributors&gt;&lt;authors&gt;&lt;author&gt;Chen, Yi-Kai&lt;/author&gt;&lt;author&gt;Shen, Chung-Hua&lt;/author&gt;&lt;author&gt;Kao, Lanfeng&lt;/author&gt;&lt;author&gt;Yeh, Chuan-Yi&lt;/author&gt;&lt;/authors&gt;&lt;/contributors&gt;&lt;titles&gt;&lt;title&gt;Bank liquidity risk and performance&lt;/title&gt;&lt;secondary-title&gt;Review of Pacific Basin Financial Markets and Policies&lt;/secondary-title&gt;&lt;/titles&gt;&lt;periodical&gt;&lt;full-title&gt;Review of Pacific Basin Financial Markets and Policies&lt;/full-title&gt;&lt;/periodical&gt;&lt;pages&gt;1850007&lt;/pages&gt;&lt;volume&gt;21&lt;/volume&gt;&lt;number&gt;01&lt;/number&gt;&lt;dates&gt;&lt;year&gt;2018&lt;/year&gt;&lt;/dates&gt;&lt;isbn&gt;0219-0915&lt;/isbn&gt;&lt;urls&gt;&lt;/urls&gt;&lt;/record&gt;&lt;/Cite&gt;&lt;/EndNote&gt;</w:instrText>
      </w:r>
      <w:r w:rsidR="008341DC" w:rsidRPr="003404EA">
        <w:rPr>
          <w:rFonts w:cs="Simplified Arabic"/>
          <w:color w:val="000000" w:themeColor="text1"/>
        </w:rPr>
        <w:fldChar w:fldCharType="separate"/>
      </w:r>
      <w:r w:rsidR="008341DC">
        <w:rPr>
          <w:rFonts w:cs="Simplified Arabic"/>
          <w:noProof/>
          <w:color w:val="000000" w:themeColor="text1"/>
        </w:rPr>
        <w:t>(Chen, Shen, Kao, &amp; Yeh, 2018; LeJeune, 2010)</w:t>
      </w:r>
      <w:r w:rsidR="008341DC" w:rsidRPr="003404EA">
        <w:rPr>
          <w:rFonts w:cs="Simplified Arabic"/>
          <w:color w:val="000000" w:themeColor="text1"/>
        </w:rPr>
        <w:fldChar w:fldCharType="end"/>
      </w:r>
      <w:r w:rsidR="00B2508C">
        <w:rPr>
          <w:rFonts w:cs="Simplified Arabic"/>
          <w:color w:val="000000" w:themeColor="text1"/>
        </w:rPr>
        <w:t xml:space="preserve">, </w:t>
      </w:r>
      <w:r w:rsidR="00B2508C" w:rsidRPr="003404EA">
        <w:rPr>
          <w:rFonts w:cs="Simplified Arabic"/>
          <w:color w:val="000000" w:themeColor="text1"/>
        </w:rPr>
        <w:fldChar w:fldCharType="begin"/>
      </w:r>
      <w:r w:rsidR="00B2508C" w:rsidRPr="003404EA">
        <w:rPr>
          <w:rFonts w:cs="Simplified Arabic"/>
          <w:color w:val="000000" w:themeColor="text1"/>
        </w:rPr>
        <w:instrText xml:space="preserve"> ADDIN EN.CITE &lt;EndNote&gt;&lt;Cite&gt;&lt;Author&gt;Sukmana&lt;/Author&gt;&lt;Year&gt;2016&lt;/Year&gt;&lt;RecNum&gt;9&lt;/RecNum&gt;&lt;DisplayText&gt;(Sukmana &amp;amp; Suryaningtyas, 2016)&lt;/DisplayText&gt;&lt;record&gt;&lt;rec-number&gt;9&lt;/rec-number&gt;&lt;foreign-keys&gt;&lt;key app="EN" db-id="ztsvtds96tatwpezaf752f9srez5x0prfwtd" timestamp="1597570121"&gt;9&lt;/key&gt;&lt;/foreign-keys&gt;&lt;ref-type name="Journal Article"&gt;17&lt;/ref-type&gt;&lt;contributors&gt;&lt;authors&gt;&lt;author&gt;Sukmana, Raditya&lt;/author&gt;&lt;author&gt;Suryaningtyas, Sari&lt;/author&gt;&lt;/authors&gt;&lt;/contributors&gt;&lt;titles&gt;&lt;title&gt;Determinants of liquidity risk in Indonesian Islamic and conventional banks&lt;/title&gt;&lt;secondary-title&gt;Al-Iqtishad: Jurnal Ilmu Ekonomi Syariah&lt;/secondary-title&gt;&lt;/titles&gt;&lt;periodical&gt;&lt;full-title&gt;Al-Iqtishad: Jurnal Ilmu Ekonomi Syariah&lt;/full-title&gt;&lt;/periodical&gt;&lt;pages&gt;187-200&lt;/pages&gt;&lt;volume&gt;8&lt;/volume&gt;&lt;number&gt;2&lt;/number&gt;&lt;dates&gt;&lt;year&gt;2016&lt;/year&gt;&lt;/dates&gt;&lt;isbn&gt;2407-8654&lt;/isbn&gt;&lt;urls&gt;&lt;/urls&gt;&lt;/record&gt;&lt;/Cite&gt;&lt;/EndNote&gt;</w:instrText>
      </w:r>
      <w:r w:rsidR="00B2508C" w:rsidRPr="003404EA">
        <w:rPr>
          <w:rFonts w:cs="Simplified Arabic"/>
          <w:color w:val="000000" w:themeColor="text1"/>
        </w:rPr>
        <w:fldChar w:fldCharType="separate"/>
      </w:r>
      <w:r w:rsidR="00B2508C" w:rsidRPr="003404EA">
        <w:rPr>
          <w:rFonts w:cs="Simplified Arabic"/>
          <w:noProof/>
          <w:color w:val="000000" w:themeColor="text1"/>
        </w:rPr>
        <w:t>(Sukmana &amp; Suryaningtyas, 2016)</w:t>
      </w:r>
      <w:r w:rsidR="00B2508C" w:rsidRPr="003404EA">
        <w:rPr>
          <w:rFonts w:cs="Simplified Arabic"/>
          <w:color w:val="000000" w:themeColor="text1"/>
        </w:rPr>
        <w:fldChar w:fldCharType="end"/>
      </w:r>
      <w:r w:rsidR="00B2508C">
        <w:rPr>
          <w:rFonts w:cs="Simplified Arabic"/>
          <w:color w:val="000000" w:themeColor="text1"/>
        </w:rPr>
        <w:t xml:space="preserve"> and </w:t>
      </w:r>
      <w:r w:rsidR="00B2508C" w:rsidRPr="003404EA">
        <w:rPr>
          <w:rFonts w:cs="Simplified Arabic"/>
          <w:color w:val="000000" w:themeColor="text1"/>
        </w:rPr>
        <w:fldChar w:fldCharType="begin"/>
      </w:r>
      <w:r w:rsidR="00B2508C" w:rsidRPr="003404EA">
        <w:rPr>
          <w:rFonts w:cs="Simplified Arabic"/>
          <w:color w:val="000000" w:themeColor="text1"/>
        </w:rPr>
        <w:instrText xml:space="preserve"> ADDIN EN.CITE &lt;EndNote&gt;&lt;Cite&gt;&lt;Author&gt;Almumani&lt;/Author&gt;&lt;Year&gt;2013&lt;/Year&gt;&lt;RecNum&gt;8&lt;/RecNum&gt;&lt;DisplayText&gt;(Almumani, 2013)&lt;/DisplayText&gt;&lt;record&gt;&lt;rec-number&gt;8&lt;/rec-number&gt;&lt;foreign-keys&gt;&lt;key app="EN" db-id="ztsvtds96tatwpezaf752f9srez5x0prfwtd" timestamp="1597569945"&gt;8&lt;/key&gt;&lt;/foreign-keys&gt;&lt;ref-type name="Journal Article"&gt;17&lt;/ref-type&gt;&lt;contributors&gt;&lt;authors&gt;&lt;author&gt;Almumani, Mohammad Abdelkarim&lt;/author&gt;&lt;/authors&gt;&lt;/contributors&gt;&lt;titles&gt;&lt;title&gt;Impact of managerial factors on commercial bank profitability: Empirical evidence from Jordan&lt;/title&gt;&lt;secondary-title&gt;International Journal of Academic Research in Accounting, Finance and Management Sciences&lt;/secondary-title&gt;&lt;/titles&gt;&lt;periodical&gt;&lt;full-title&gt;International Journal of Academic Research in Accounting, Finance and Management Sciences&lt;/full-title&gt;&lt;/periodical&gt;&lt;pages&gt;298-310&lt;/pages&gt;&lt;volume&gt;3&lt;/volume&gt;&lt;number&gt;3&lt;/number&gt;&lt;dates&gt;&lt;year&gt;2013&lt;/year&gt;&lt;/dates&gt;&lt;urls&gt;&lt;/urls&gt;&lt;/record&gt;&lt;/Cite&gt;&lt;/EndNote&gt;</w:instrText>
      </w:r>
      <w:r w:rsidR="00B2508C" w:rsidRPr="003404EA">
        <w:rPr>
          <w:rFonts w:cs="Simplified Arabic"/>
          <w:color w:val="000000" w:themeColor="text1"/>
        </w:rPr>
        <w:fldChar w:fldCharType="separate"/>
      </w:r>
      <w:r w:rsidR="00B2508C" w:rsidRPr="003404EA">
        <w:rPr>
          <w:rFonts w:cs="Simplified Arabic"/>
          <w:noProof/>
          <w:color w:val="000000" w:themeColor="text1"/>
        </w:rPr>
        <w:t>(Almumani, 2013)</w:t>
      </w:r>
      <w:r w:rsidR="00B2508C" w:rsidRPr="003404EA">
        <w:rPr>
          <w:rFonts w:cs="Simplified Arabic"/>
          <w:color w:val="000000" w:themeColor="text1"/>
        </w:rPr>
        <w:fldChar w:fldCharType="end"/>
      </w:r>
      <w:r w:rsidR="008341DC" w:rsidRPr="003404EA">
        <w:rPr>
          <w:rFonts w:cs="Simplified Arabic"/>
          <w:color w:val="000000" w:themeColor="text1"/>
        </w:rPr>
        <w:t xml:space="preserve"> use </w:t>
      </w:r>
      <w:r w:rsidR="00B2508C">
        <w:rPr>
          <w:rFonts w:cs="Simplified Arabic"/>
          <w:color w:val="000000" w:themeColor="text1"/>
        </w:rPr>
        <w:t>the proportion</w:t>
      </w:r>
      <w:r w:rsidR="008341DC" w:rsidRPr="003404EA">
        <w:rPr>
          <w:rFonts w:cs="Simplified Arabic"/>
          <w:color w:val="000000" w:themeColor="text1"/>
        </w:rPr>
        <w:t xml:space="preserve"> of liquid assets </w:t>
      </w:r>
      <w:r w:rsidR="00B2508C">
        <w:rPr>
          <w:rFonts w:cs="Simplified Arabic"/>
          <w:color w:val="000000" w:themeColor="text1"/>
        </w:rPr>
        <w:t xml:space="preserve">to </w:t>
      </w:r>
      <w:r w:rsidR="008341DC" w:rsidRPr="003404EA">
        <w:rPr>
          <w:rFonts w:cs="Simplified Arabic"/>
          <w:color w:val="000000" w:themeColor="text1"/>
        </w:rPr>
        <w:t>total assets</w:t>
      </w:r>
      <w:r w:rsidR="00A415CE">
        <w:rPr>
          <w:rFonts w:cs="Simplified Arabic"/>
          <w:color w:val="000000" w:themeColor="text1"/>
        </w:rPr>
        <w:t xml:space="preserve">. </w:t>
      </w:r>
      <w:r w:rsidR="00B2508C" w:rsidRPr="003404EA">
        <w:rPr>
          <w:rFonts w:cs="Simplified Arabic"/>
          <w:color w:val="000000" w:themeColor="text1"/>
        </w:rPr>
        <w:fldChar w:fldCharType="begin"/>
      </w:r>
      <w:r w:rsidR="00B2508C">
        <w:rPr>
          <w:rFonts w:cs="Simplified Arabic"/>
          <w:color w:val="000000" w:themeColor="text1"/>
        </w:rPr>
        <w:instrText xml:space="preserve"> ADDIN EN.CITE &lt;EndNote&gt;&lt;Cite&gt;&lt;Author&gt;Mohamad&lt;/Author&gt;&lt;Year&gt;2013&lt;/Year&gt;&lt;RecNum&gt;10&lt;/RecNum&gt;&lt;DisplayText&gt;(Mohamad, Mohamad, &amp;amp; Samsudin,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B2508C" w:rsidRPr="003404EA">
        <w:rPr>
          <w:rFonts w:cs="Simplified Arabic"/>
          <w:color w:val="000000" w:themeColor="text1"/>
        </w:rPr>
        <w:fldChar w:fldCharType="separate"/>
      </w:r>
      <w:r w:rsidR="00B2508C">
        <w:rPr>
          <w:rFonts w:cs="Simplified Arabic"/>
          <w:noProof/>
          <w:color w:val="000000" w:themeColor="text1"/>
        </w:rPr>
        <w:t>(Mohamad, Mohamad, &amp; Samsudin, 2013)</w:t>
      </w:r>
      <w:r w:rsidR="00B2508C" w:rsidRPr="003404EA">
        <w:rPr>
          <w:rFonts w:cs="Simplified Arabic"/>
          <w:color w:val="000000" w:themeColor="text1"/>
        </w:rPr>
        <w:fldChar w:fldCharType="end"/>
      </w:r>
      <w:r w:rsidR="00B2508C">
        <w:rPr>
          <w:rFonts w:cs="Simplified Arabic"/>
          <w:color w:val="000000" w:themeColor="text1"/>
        </w:rPr>
        <w:t xml:space="preserve"> use t</w:t>
      </w:r>
      <w:r w:rsidR="008341DC" w:rsidRPr="003404EA">
        <w:rPr>
          <w:rFonts w:cs="Simplified Arabic"/>
          <w:color w:val="000000" w:themeColor="text1"/>
        </w:rPr>
        <w:t xml:space="preserve">he </w:t>
      </w:r>
      <w:r w:rsidR="00B2508C">
        <w:rPr>
          <w:rFonts w:cs="Simplified Arabic"/>
          <w:color w:val="000000" w:themeColor="text1"/>
        </w:rPr>
        <w:t xml:space="preserve">proportion </w:t>
      </w:r>
      <w:r w:rsidR="00B2508C" w:rsidRPr="003404EA">
        <w:rPr>
          <w:rFonts w:cs="Simplified Arabic"/>
          <w:color w:val="000000" w:themeColor="text1"/>
        </w:rPr>
        <w:t>of</w:t>
      </w:r>
      <w:r w:rsidR="008341DC" w:rsidRPr="003404EA">
        <w:rPr>
          <w:rFonts w:cs="Simplified Arabic"/>
          <w:color w:val="000000" w:themeColor="text1"/>
        </w:rPr>
        <w:t xml:space="preserve"> total deposits in total assets</w:t>
      </w:r>
      <w:r w:rsidR="00A415CE">
        <w:rPr>
          <w:rFonts w:cs="Simplified Arabic"/>
          <w:color w:val="000000" w:themeColor="text1"/>
        </w:rPr>
        <w:t xml:space="preserve">. </w:t>
      </w:r>
      <w:r w:rsidR="008341DC" w:rsidRPr="003404EA">
        <w:rPr>
          <w:rFonts w:cs="Simplified Arabic"/>
          <w:color w:val="000000" w:themeColor="text1"/>
        </w:rPr>
        <w:t>As well,</w:t>
      </w:r>
      <w:r w:rsidR="00B2508C">
        <w:rPr>
          <w:rFonts w:cs="Simplified Arabic"/>
          <w:color w:val="000000" w:themeColor="text1"/>
        </w:rPr>
        <w:t xml:space="preserve"> other measures including</w:t>
      </w:r>
      <w:r w:rsidR="008341DC" w:rsidRPr="003404EA">
        <w:rPr>
          <w:rFonts w:cs="Simplified Arabic"/>
          <w:color w:val="000000" w:themeColor="text1"/>
        </w:rPr>
        <w:t xml:space="preserve"> return on equity </w:t>
      </w:r>
      <w:r w:rsidR="008341DC" w:rsidRPr="003404EA">
        <w:rPr>
          <w:rFonts w:cs="Simplified Arabic"/>
          <w:color w:val="000000" w:themeColor="text1"/>
        </w:rPr>
        <w:fldChar w:fldCharType="begin"/>
      </w:r>
      <w:r w:rsidR="008341DC" w:rsidRPr="003404EA">
        <w:rPr>
          <w:rFonts w:cs="Simplified Arabic"/>
          <w:color w:val="000000" w:themeColor="text1"/>
        </w:rPr>
        <w:instrText xml:space="preserve"> ADDIN EN.CITE &lt;EndNote&gt;&lt;Cite&gt;&lt;Author&gt;Mohamad&lt;/Author&gt;&lt;Year&gt;2013&lt;/Year&gt;&lt;RecNum&gt;10&lt;/RecNum&gt;&lt;DisplayText&gt;(Mohamad et al.,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8341DC" w:rsidRPr="003404EA">
        <w:rPr>
          <w:rFonts w:cs="Simplified Arabic"/>
          <w:color w:val="000000" w:themeColor="text1"/>
        </w:rPr>
        <w:fldChar w:fldCharType="separate"/>
      </w:r>
      <w:r w:rsidR="008341DC" w:rsidRPr="003404EA">
        <w:rPr>
          <w:rFonts w:cs="Simplified Arabic"/>
          <w:noProof/>
          <w:color w:val="000000" w:themeColor="text1"/>
        </w:rPr>
        <w:t>(Mohamad et al., 2013)</w:t>
      </w:r>
      <w:r w:rsidR="008341DC" w:rsidRPr="003404EA">
        <w:rPr>
          <w:rFonts w:cs="Simplified Arabic"/>
          <w:color w:val="000000" w:themeColor="text1"/>
        </w:rPr>
        <w:fldChar w:fldCharType="end"/>
      </w:r>
      <w:r w:rsidR="008341DC" w:rsidRPr="003404EA">
        <w:rPr>
          <w:rFonts w:cs="Simplified Arabic"/>
          <w:color w:val="000000" w:themeColor="text1"/>
        </w:rPr>
        <w:t xml:space="preserve"> return on assets</w:t>
      </w:r>
      <w:r w:rsidR="0076605D">
        <w:rPr>
          <w:rFonts w:cs="Simplified Arabic"/>
          <w:color w:val="000000" w:themeColor="text1"/>
        </w:rPr>
        <w:t xml:space="preserve"> </w:t>
      </w:r>
      <w:r w:rsidR="008341DC" w:rsidRPr="003404EA">
        <w:rPr>
          <w:rFonts w:cs="Simplified Arabic"/>
          <w:color w:val="000000" w:themeColor="text1"/>
        </w:rPr>
        <w:fldChar w:fldCharType="begin"/>
      </w:r>
      <w:r w:rsidR="008341DC" w:rsidRPr="003404EA">
        <w:rPr>
          <w:rFonts w:cs="Simplified Arabic"/>
          <w:color w:val="000000" w:themeColor="text1"/>
        </w:rPr>
        <w:instrText xml:space="preserve"> ADDIN EN.CITE &lt;EndNote&gt;&lt;Cite&gt;&lt;Author&gt;Mohamad&lt;/Author&gt;&lt;Year&gt;2013&lt;/Year&gt;&lt;RecNum&gt;10&lt;/RecNum&gt;&lt;DisplayText&gt;(Mohamad et al.,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8341DC" w:rsidRPr="003404EA">
        <w:rPr>
          <w:rFonts w:cs="Simplified Arabic"/>
          <w:color w:val="000000" w:themeColor="text1"/>
        </w:rPr>
        <w:fldChar w:fldCharType="separate"/>
      </w:r>
      <w:r w:rsidR="008341DC" w:rsidRPr="003404EA">
        <w:rPr>
          <w:rFonts w:cs="Simplified Arabic"/>
          <w:noProof/>
          <w:color w:val="000000" w:themeColor="text1"/>
        </w:rPr>
        <w:t>(Mohamad et al., 2013)</w:t>
      </w:r>
      <w:r w:rsidR="008341DC" w:rsidRPr="003404EA">
        <w:rPr>
          <w:rFonts w:cs="Simplified Arabic"/>
          <w:color w:val="000000" w:themeColor="text1"/>
        </w:rPr>
        <w:fldChar w:fldCharType="end"/>
      </w:r>
      <w:r w:rsidR="008341DC" w:rsidRPr="003404EA">
        <w:rPr>
          <w:rFonts w:cs="Simplified Arabic"/>
          <w:color w:val="000000" w:themeColor="text1"/>
        </w:rPr>
        <w:t xml:space="preserve"> capital adequacy ratio</w:t>
      </w:r>
      <w:r w:rsidR="008341DC" w:rsidRPr="003404EA">
        <w:rPr>
          <w:rFonts w:cs="Simplified Arabic"/>
          <w:color w:val="000000" w:themeColor="text1"/>
        </w:rPr>
        <w:fldChar w:fldCharType="begin"/>
      </w:r>
      <w:r w:rsidR="008341DC" w:rsidRPr="003404EA">
        <w:rPr>
          <w:rFonts w:cs="Simplified Arabic"/>
          <w:color w:val="000000" w:themeColor="text1"/>
        </w:rPr>
        <w:instrText xml:space="preserve"> ADDIN EN.CITE &lt;EndNote&gt;&lt;Cite&gt;&lt;Author&gt;Mohamad&lt;/Author&gt;&lt;Year&gt;2013&lt;/Year&gt;&lt;RecNum&gt;10&lt;/RecNum&gt;&lt;DisplayText&gt;(Mohamad et al.,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8341DC" w:rsidRPr="003404EA">
        <w:rPr>
          <w:rFonts w:cs="Simplified Arabic"/>
          <w:color w:val="000000" w:themeColor="text1"/>
        </w:rPr>
        <w:fldChar w:fldCharType="separate"/>
      </w:r>
      <w:r w:rsidR="008341DC" w:rsidRPr="003404EA">
        <w:rPr>
          <w:rFonts w:cs="Simplified Arabic"/>
          <w:noProof/>
          <w:color w:val="000000" w:themeColor="text1"/>
        </w:rPr>
        <w:t>(Mohamad et al., 2013)</w:t>
      </w:r>
      <w:r w:rsidR="008341DC" w:rsidRPr="003404EA">
        <w:rPr>
          <w:rFonts w:cs="Simplified Arabic"/>
          <w:color w:val="000000" w:themeColor="text1"/>
        </w:rPr>
        <w:fldChar w:fldCharType="end"/>
      </w:r>
      <w:r w:rsidR="008341DC" w:rsidRPr="003404EA">
        <w:rPr>
          <w:rFonts w:cs="Simplified Arabic"/>
          <w:color w:val="000000" w:themeColor="text1"/>
        </w:rPr>
        <w:t xml:space="preserve"> and net working capital</w:t>
      </w:r>
      <w:r w:rsidR="008341DC" w:rsidRPr="003404EA">
        <w:rPr>
          <w:rFonts w:cs="Simplified Arabic"/>
          <w:color w:val="000000" w:themeColor="text1"/>
        </w:rPr>
        <w:fldChar w:fldCharType="begin"/>
      </w:r>
      <w:r w:rsidR="008341DC" w:rsidRPr="003404EA">
        <w:rPr>
          <w:rFonts w:cs="Simplified Arabic"/>
          <w:color w:val="000000" w:themeColor="text1"/>
        </w:rPr>
        <w:instrText xml:space="preserve"> ADDIN EN.CITE &lt;EndNote&gt;&lt;Cite&gt;&lt;Author&gt;Mohamad&lt;/Author&gt;&lt;Year&gt;2013&lt;/Year&gt;&lt;RecNum&gt;10&lt;/RecNum&gt;&lt;DisplayText&gt;(Mohamad et al.,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8341DC" w:rsidRPr="003404EA">
        <w:rPr>
          <w:rFonts w:cs="Simplified Arabic"/>
          <w:color w:val="000000" w:themeColor="text1"/>
        </w:rPr>
        <w:fldChar w:fldCharType="separate"/>
      </w:r>
      <w:r w:rsidR="008341DC" w:rsidRPr="003404EA">
        <w:rPr>
          <w:rFonts w:cs="Simplified Arabic"/>
          <w:noProof/>
          <w:color w:val="000000" w:themeColor="text1"/>
        </w:rPr>
        <w:t>(Mohamad et al., 2013)</w:t>
      </w:r>
      <w:r w:rsidR="008341DC" w:rsidRPr="003404EA">
        <w:rPr>
          <w:rFonts w:cs="Simplified Arabic"/>
          <w:color w:val="000000" w:themeColor="text1"/>
        </w:rPr>
        <w:fldChar w:fldCharType="end"/>
      </w:r>
      <w:r w:rsidR="00B2508C">
        <w:rPr>
          <w:rFonts w:cs="Simplified Arabic"/>
          <w:color w:val="000000" w:themeColor="text1"/>
        </w:rPr>
        <w:t xml:space="preserve"> have been implemented</w:t>
      </w:r>
      <w:r w:rsidR="00A415CE">
        <w:rPr>
          <w:rFonts w:cs="Simplified Arabic"/>
          <w:color w:val="000000" w:themeColor="text1"/>
        </w:rPr>
        <w:t xml:space="preserve">. </w:t>
      </w:r>
    </w:p>
    <w:p w14:paraId="363521FC" w14:textId="33720B85" w:rsidR="00962790" w:rsidRDefault="00962790" w:rsidP="002B430C">
      <w:pPr>
        <w:pStyle w:val="Heading3"/>
      </w:pPr>
      <w:r>
        <w:t xml:space="preserve">Conceptual Framework </w:t>
      </w:r>
    </w:p>
    <w:p w14:paraId="1F586C54" w14:textId="405C44EE" w:rsidR="008341DC" w:rsidRDefault="008341DC" w:rsidP="004E4427">
      <w:r>
        <w:t>Based on the previous study and literature review, our conceptual model that will be guiding the empirical work of this thesis as follows:</w:t>
      </w:r>
    </w:p>
    <w:p w14:paraId="4C120251" w14:textId="77777777" w:rsidR="003D66E1" w:rsidRDefault="003D66E1" w:rsidP="003D66E1">
      <w:pPr>
        <w:keepNext/>
      </w:pPr>
      <w:r>
        <w:rPr>
          <w:noProof/>
        </w:rPr>
        <w:lastRenderedPageBreak/>
        <w:drawing>
          <wp:inline distT="0" distB="0" distL="0" distR="0" wp14:anchorId="53701394" wp14:editId="15452FB6">
            <wp:extent cx="5486400" cy="2834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834640"/>
                    </a:xfrm>
                    <a:prstGeom prst="rect">
                      <a:avLst/>
                    </a:prstGeom>
                    <a:noFill/>
                    <a:ln>
                      <a:noFill/>
                    </a:ln>
                  </pic:spPr>
                </pic:pic>
              </a:graphicData>
            </a:graphic>
          </wp:inline>
        </w:drawing>
      </w:r>
    </w:p>
    <w:p w14:paraId="4828E6EE" w14:textId="632A7DCE" w:rsidR="003D66E1" w:rsidRPr="003D66E1" w:rsidRDefault="003D66E1" w:rsidP="003D66E1">
      <w:pPr>
        <w:pStyle w:val="Caption"/>
        <w:jc w:val="center"/>
        <w:rPr>
          <w:b/>
          <w:bCs/>
          <w:i w:val="0"/>
          <w:iCs w:val="0"/>
          <w:color w:val="auto"/>
          <w:sz w:val="20"/>
          <w:szCs w:val="20"/>
        </w:rPr>
      </w:pPr>
      <w:r w:rsidRPr="003D66E1">
        <w:rPr>
          <w:b/>
          <w:bCs/>
          <w:i w:val="0"/>
          <w:iCs w:val="0"/>
          <w:color w:val="auto"/>
          <w:sz w:val="20"/>
          <w:szCs w:val="20"/>
        </w:rPr>
        <w:t xml:space="preserve">Figure </w:t>
      </w:r>
      <w:r w:rsidRPr="003D66E1">
        <w:rPr>
          <w:b/>
          <w:bCs/>
          <w:i w:val="0"/>
          <w:iCs w:val="0"/>
          <w:color w:val="auto"/>
          <w:sz w:val="20"/>
          <w:szCs w:val="20"/>
        </w:rPr>
        <w:fldChar w:fldCharType="begin"/>
      </w:r>
      <w:r w:rsidRPr="003D66E1">
        <w:rPr>
          <w:b/>
          <w:bCs/>
          <w:i w:val="0"/>
          <w:iCs w:val="0"/>
          <w:color w:val="auto"/>
          <w:sz w:val="20"/>
          <w:szCs w:val="20"/>
        </w:rPr>
        <w:instrText xml:space="preserve"> SEQ Figure \* ARABIC </w:instrText>
      </w:r>
      <w:r w:rsidRPr="003D66E1">
        <w:rPr>
          <w:b/>
          <w:bCs/>
          <w:i w:val="0"/>
          <w:iCs w:val="0"/>
          <w:color w:val="auto"/>
          <w:sz w:val="20"/>
          <w:szCs w:val="20"/>
        </w:rPr>
        <w:fldChar w:fldCharType="separate"/>
      </w:r>
      <w:r w:rsidRPr="003D66E1">
        <w:rPr>
          <w:b/>
          <w:bCs/>
          <w:i w:val="0"/>
          <w:iCs w:val="0"/>
          <w:noProof/>
          <w:color w:val="auto"/>
          <w:sz w:val="20"/>
          <w:szCs w:val="20"/>
        </w:rPr>
        <w:t>1</w:t>
      </w:r>
      <w:r w:rsidRPr="003D66E1">
        <w:rPr>
          <w:b/>
          <w:bCs/>
          <w:i w:val="0"/>
          <w:iCs w:val="0"/>
          <w:color w:val="auto"/>
          <w:sz w:val="20"/>
          <w:szCs w:val="20"/>
        </w:rPr>
        <w:fldChar w:fldCharType="end"/>
      </w:r>
      <w:r w:rsidRPr="003D66E1">
        <w:rPr>
          <w:b/>
          <w:bCs/>
          <w:i w:val="0"/>
          <w:iCs w:val="0"/>
          <w:color w:val="auto"/>
          <w:sz w:val="20"/>
          <w:szCs w:val="20"/>
        </w:rPr>
        <w:t>: Conceptual Framework</w:t>
      </w:r>
    </w:p>
    <w:p w14:paraId="35C58280" w14:textId="38C7758E" w:rsidR="008341DC" w:rsidRPr="00956D51" w:rsidRDefault="0083795F" w:rsidP="003D66E1">
      <w:pPr>
        <w:pStyle w:val="Heading4"/>
      </w:pPr>
      <w:r w:rsidRPr="00FA7590">
        <w:t>Hypothes</w:t>
      </w:r>
      <w:r w:rsidR="00075A6D">
        <w:t>e</w:t>
      </w:r>
      <w:r w:rsidRPr="00FA7590">
        <w:t>s</w:t>
      </w:r>
      <w:r w:rsidR="008341DC" w:rsidRPr="00FA7590">
        <w:t xml:space="preserve"> Development</w:t>
      </w:r>
    </w:p>
    <w:p w14:paraId="752C4363" w14:textId="4A5B506B" w:rsidR="008341DC" w:rsidRPr="00835463" w:rsidRDefault="008341DC" w:rsidP="004E4427">
      <w:r w:rsidRPr="00835463">
        <w:t xml:space="preserve">Based on our </w:t>
      </w:r>
      <w:r w:rsidR="00B94BD7">
        <w:t>conceptual</w:t>
      </w:r>
      <w:r w:rsidRPr="00835463">
        <w:t xml:space="preserve"> framework and previous </w:t>
      </w:r>
      <w:r w:rsidR="0083795F" w:rsidRPr="00835463">
        <w:t>empirical</w:t>
      </w:r>
      <w:r w:rsidRPr="00835463">
        <w:t xml:space="preserve"> studies, the distinction between the liquidity risk between Islamic banks and </w:t>
      </w:r>
      <w:r w:rsidR="0083795F" w:rsidRPr="00835463">
        <w:t>commercial</w:t>
      </w:r>
      <w:r w:rsidRPr="00835463">
        <w:t xml:space="preserve"> banks are to be </w:t>
      </w:r>
      <w:r w:rsidR="0083795F" w:rsidRPr="00835463">
        <w:t>examined</w:t>
      </w:r>
      <w:r w:rsidRPr="00835463">
        <w:t xml:space="preserve"> through the following hypothesis</w:t>
      </w:r>
    </w:p>
    <w:p w14:paraId="3E221378" w14:textId="591DC549" w:rsidR="008341DC" w:rsidRPr="00835463" w:rsidRDefault="008341DC" w:rsidP="004E4427">
      <w:r w:rsidRPr="00835463">
        <w:t xml:space="preserve">H1: </w:t>
      </w:r>
      <w:r>
        <w:t>The relationship between the liquidity risk and cash ratio is significantly negative at 5% level of significance</w:t>
      </w:r>
      <w:r w:rsidR="00563DFB">
        <w:t xml:space="preserve"> for Islamic Banks and Conventional Banks.</w:t>
      </w:r>
    </w:p>
    <w:p w14:paraId="3C51A8A7" w14:textId="6385F61B" w:rsidR="008341DC" w:rsidRPr="00835463" w:rsidRDefault="008341DC" w:rsidP="004E4427">
      <w:r w:rsidRPr="00835463">
        <w:t xml:space="preserve">H2: </w:t>
      </w:r>
      <w:r>
        <w:t>The relationship between the liquidity risk and deposits to assets is significantly positive at 5% level of significance</w:t>
      </w:r>
      <w:r w:rsidR="00563DFB">
        <w:t xml:space="preserve"> for Islamic Banks and Conventional Banks.</w:t>
      </w:r>
    </w:p>
    <w:p w14:paraId="23BFE224" w14:textId="6BA5B2EF" w:rsidR="008341DC" w:rsidRPr="00835463" w:rsidRDefault="008341DC" w:rsidP="004E4427">
      <w:r w:rsidRPr="00835463">
        <w:t xml:space="preserve">H3: </w:t>
      </w:r>
      <w:r>
        <w:t xml:space="preserve">The relationship between the liquidity risk and </w:t>
      </w:r>
      <w:r w:rsidR="00402F40">
        <w:t>ROE</w:t>
      </w:r>
      <w:r>
        <w:t xml:space="preserve"> is significantly </w:t>
      </w:r>
      <w:r w:rsidR="0083795F">
        <w:t>positive</w:t>
      </w:r>
      <w:r>
        <w:t xml:space="preserve"> at 5% level of significance</w:t>
      </w:r>
      <w:r w:rsidR="00563DFB" w:rsidRPr="00563DFB">
        <w:t xml:space="preserve"> </w:t>
      </w:r>
      <w:r w:rsidR="00563DFB">
        <w:t xml:space="preserve">for Islamic Banks and Conventional </w:t>
      </w:r>
      <w:r w:rsidR="00402F40">
        <w:t>Banks.</w:t>
      </w:r>
    </w:p>
    <w:p w14:paraId="13533FE5" w14:textId="33559461" w:rsidR="008341DC" w:rsidRPr="00835463" w:rsidRDefault="008341DC" w:rsidP="004E4427">
      <w:r w:rsidRPr="00835463">
        <w:t xml:space="preserve">H4: </w:t>
      </w:r>
      <w:r>
        <w:t>The relationship between the liquidity risk and capital adequacy ratio is significantly negative at 5% level of significance</w:t>
      </w:r>
      <w:r w:rsidR="00563DFB" w:rsidRPr="00563DFB">
        <w:t xml:space="preserve"> </w:t>
      </w:r>
      <w:r w:rsidR="00563DFB">
        <w:t xml:space="preserve">for Islamic Banks and Conventional </w:t>
      </w:r>
      <w:r w:rsidR="00402F40">
        <w:t>Banks.</w:t>
      </w:r>
    </w:p>
    <w:p w14:paraId="49157270" w14:textId="7F434F5D" w:rsidR="00BD5ECF" w:rsidRDefault="00A71403" w:rsidP="002B430C">
      <w:pPr>
        <w:pStyle w:val="Heading2"/>
      </w:pPr>
      <w:r>
        <w:lastRenderedPageBreak/>
        <w:t>Methodology</w:t>
      </w:r>
    </w:p>
    <w:p w14:paraId="6D0CAD56" w14:textId="77777777" w:rsidR="003303F7" w:rsidRPr="0076605D" w:rsidRDefault="003303F7" w:rsidP="002B430C">
      <w:pPr>
        <w:pStyle w:val="Heading3"/>
      </w:pPr>
      <w:bookmarkStart w:id="5" w:name="_Toc48682017"/>
      <w:r w:rsidRPr="0076605D">
        <w:t>Data and Sample Descriptions</w:t>
      </w:r>
      <w:bookmarkEnd w:id="5"/>
    </w:p>
    <w:p w14:paraId="1A62A359" w14:textId="77777777" w:rsidR="003303F7" w:rsidRPr="003800D8" w:rsidRDefault="003303F7" w:rsidP="003303F7">
      <w:r w:rsidRPr="003800D8">
        <w:t>The data that have been used in this thesis are microdata in nature, that is its related to specific Banks. For the purpose of construction of the study variables the financial statements of the banks (Conventional and Islamic) collected and constructed manually. The sources of the data include the published financial reports of the companies available from Association of Banks in Palestine.  The study covers the period from 2009 till 2018. For Conventional Banks, we have 11</w:t>
      </w:r>
      <w:r w:rsidRPr="003800D8">
        <w:rPr>
          <w:rFonts w:hint="cs"/>
          <w:rtl/>
        </w:rPr>
        <w:t>9</w:t>
      </w:r>
      <w:r w:rsidRPr="003800D8">
        <w:t xml:space="preserve"> observations (T=10,</w:t>
      </w:r>
      <w:r>
        <w:t xml:space="preserve"> </w:t>
      </w:r>
      <w:r w:rsidRPr="003800D8">
        <w:t>N=12), whereas for Islamic Banks, we have</w:t>
      </w:r>
      <w:r>
        <w:t xml:space="preserve"> 23 observations (T=10, N=3). It is worth mentioning that we have unbalanced data sets for the two groups of banks. </w:t>
      </w:r>
    </w:p>
    <w:p w14:paraId="55213E69" w14:textId="77777777" w:rsidR="003303F7" w:rsidRPr="00A413D6" w:rsidRDefault="003303F7" w:rsidP="002B430C">
      <w:pPr>
        <w:pStyle w:val="Heading3"/>
      </w:pPr>
      <w:bookmarkStart w:id="6" w:name="_Toc48682018"/>
      <w:r w:rsidRPr="00A413D6">
        <w:t>Model Specification</w:t>
      </w:r>
      <w:r>
        <w:t xml:space="preserve"> &amp; Variables Definition</w:t>
      </w:r>
      <w:bookmarkEnd w:id="6"/>
    </w:p>
    <w:p w14:paraId="77641B02" w14:textId="222C04B0" w:rsidR="003303F7" w:rsidRDefault="003303F7" w:rsidP="003303F7">
      <w:r w:rsidRPr="000821FF">
        <w:t xml:space="preserve">Following the work of </w:t>
      </w:r>
      <w:r w:rsidR="00A402AD">
        <w:fldChar w:fldCharType="begin"/>
      </w:r>
      <w:r w:rsidR="00895548">
        <w:instrText xml:space="preserve"> ADDIN EN.CITE &lt;EndNote&gt;&lt;Cite&gt;&lt;Author&gt;İncekara&lt;/Author&gt;&lt;Year&gt;2019&lt;/Year&gt;&lt;RecNum&gt;20&lt;/RecNum&gt;&lt;DisplayText&gt;(İncekara &amp;amp; Çetinkaya, 2019)&lt;/DisplayText&gt;&lt;record&gt;&lt;rec-number&gt;20&lt;/rec-number&gt;&lt;foreign-keys&gt;&lt;key app="EN" db-id="s5wfp0f2qf99z4e9dvmvrwt192ff2arrfzfv" timestamp="0"&gt;20&lt;/key&gt;&lt;/foreign-keys&gt;&lt;ref-type name="Journal Article"&gt;17&lt;/ref-type&gt;&lt;contributors&gt;&lt;authors&gt;&lt;author&gt;İncekara, Ahmet&lt;/author&gt;&lt;author&gt;Çetinkaya, Harun &lt;/author&gt;&lt;/authors&gt;&lt;/contributors&gt;&lt;titles&gt;&lt;title&gt;Liquidity Risk Management: A Comparative Analysis of Panel Data Between Islamic and Conventional Banking in Turkey&lt;/title&gt;&lt;secondary-title&gt;Procedia Computer Science&lt;/secondary-title&gt;&lt;/titles&gt;&lt;pages&gt;955-963&lt;/pages&gt;&lt;volume&gt;158&lt;/volume&gt;&lt;dates&gt;&lt;year&gt;2019&lt;/year&gt;&lt;/dates&gt;&lt;isbn&gt;1877-0509&lt;/isbn&gt;&lt;urls&gt;&lt;/urls&gt;&lt;/record&gt;&lt;/Cite&gt;&lt;/EndNote&gt;</w:instrText>
      </w:r>
      <w:r w:rsidR="00A402AD">
        <w:fldChar w:fldCharType="separate"/>
      </w:r>
      <w:r w:rsidR="00A402AD">
        <w:rPr>
          <w:noProof/>
        </w:rPr>
        <w:t>(İncekara &amp; Çetinkaya, 2019)</w:t>
      </w:r>
      <w:r w:rsidR="00A402AD">
        <w:fldChar w:fldCharType="end"/>
      </w:r>
      <w:r w:rsidR="00A402AD">
        <w:t xml:space="preserve"> </w:t>
      </w:r>
      <w:r w:rsidRPr="000821FF">
        <w:t>two regression models are fit. One model for the conventional banks and the other for Islamic Banks.  The econometrics models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560"/>
        <w:gridCol w:w="1525"/>
      </w:tblGrid>
      <w:tr w:rsidR="003303F7" w14:paraId="40F9D7B9" w14:textId="77777777" w:rsidTr="00FD26B8">
        <w:tc>
          <w:tcPr>
            <w:tcW w:w="265" w:type="dxa"/>
          </w:tcPr>
          <w:p w14:paraId="566D05E6" w14:textId="77777777" w:rsidR="003303F7" w:rsidRDefault="003303F7" w:rsidP="00FD26B8"/>
        </w:tc>
        <w:tc>
          <w:tcPr>
            <w:tcW w:w="7560" w:type="dxa"/>
          </w:tcPr>
          <w:p w14:paraId="2F88313B" w14:textId="2208FC71" w:rsidR="003303F7" w:rsidRPr="003C4816" w:rsidRDefault="00AB053A" w:rsidP="00FD26B8">
            <w:pPr>
              <w:rPr>
                <w:rFonts w:eastAsiaTheme="minorEastAsia"/>
              </w:rPr>
            </w:pPr>
            <m:oMathPara>
              <m:oMath>
                <m:sSub>
                  <m:sSubPr>
                    <m:ctrlPr>
                      <w:rPr>
                        <w:rFonts w:ascii="Cambria Math" w:hAnsi="Cambria Math"/>
                      </w:rPr>
                    </m:ctrlPr>
                  </m:sSubPr>
                  <m:e>
                    <m:r>
                      <w:rPr>
                        <w:rFonts w:ascii="Cambria Math" w:hAnsi="Cambria Math"/>
                      </w:rPr>
                      <m:t>LR</m:t>
                    </m:r>
                    <m:r>
                      <m:rPr>
                        <m:sty m:val="p"/>
                      </m:rPr>
                      <w:rPr>
                        <w:rFonts w:ascii="Cambria Math" w:hAnsi="Cambria Math"/>
                      </w:rPr>
                      <m:t>_</m:t>
                    </m:r>
                    <m:r>
                      <w:rPr>
                        <w:rFonts w:ascii="Cambria Math" w:hAnsi="Cambria Math"/>
                      </w:rPr>
                      <m:t>C</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DA</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sSub>
                  <m:sSubPr>
                    <m:ctrlPr>
                      <w:rPr>
                        <w:rFonts w:ascii="Cambria Math" w:hAnsi="Cambria Math"/>
                      </w:rPr>
                    </m:ctrlPr>
                  </m:sSubPr>
                  <m:e>
                    <m:r>
                      <w:rPr>
                        <w:rFonts w:ascii="Cambria Math" w:hAnsi="Cambria Math"/>
                      </w:rPr>
                      <m:t>ROE</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3</m:t>
                    </m:r>
                  </m:sub>
                </m:sSub>
                <m:sSub>
                  <m:sSubPr>
                    <m:ctrlPr>
                      <w:rPr>
                        <w:rFonts w:ascii="Cambria Math" w:hAnsi="Cambria Math"/>
                      </w:rPr>
                    </m:ctrlPr>
                  </m:sSubPr>
                  <m:e>
                    <m:r>
                      <w:rPr>
                        <w:rFonts w:ascii="Cambria Math" w:hAnsi="Cambria Math"/>
                      </w:rPr>
                      <m:t>CR</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4</m:t>
                    </m:r>
                  </m:sub>
                </m:sSub>
                <m:sSub>
                  <m:sSubPr>
                    <m:ctrlPr>
                      <w:rPr>
                        <w:rFonts w:ascii="Cambria Math" w:hAnsi="Cambria Math"/>
                      </w:rPr>
                    </m:ctrlPr>
                  </m:sSubPr>
                  <m:e>
                    <m:r>
                      <w:rPr>
                        <w:rFonts w:ascii="Cambria Math" w:hAnsi="Cambria Math"/>
                      </w:rPr>
                      <m:t>CAR</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5</m:t>
                    </m:r>
                  </m:sub>
                </m:sSub>
                <m:sSub>
                  <m:sSubPr>
                    <m:ctrlPr>
                      <w:rPr>
                        <w:rFonts w:ascii="Cambria Math" w:hAnsi="Cambria Math"/>
                      </w:rPr>
                    </m:ctrlPr>
                  </m:sSubPr>
                  <m:e>
                    <m:r>
                      <w:rPr>
                        <w:rFonts w:ascii="Cambria Math" w:hAnsi="Cambria Math"/>
                      </w:rPr>
                      <m:t>BS</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6</m:t>
                    </m:r>
                  </m:sub>
                </m:sSub>
                <m:sSub>
                  <m:sSubPr>
                    <m:ctrlPr>
                      <w:rPr>
                        <w:rFonts w:ascii="Cambria Math" w:hAnsi="Cambria Math"/>
                      </w:rPr>
                    </m:ctrlPr>
                  </m:sSubPr>
                  <m:e>
                    <m:r>
                      <w:rPr>
                        <w:rFonts w:ascii="Cambria Math" w:hAnsi="Cambria Math"/>
                      </w:rPr>
                      <m:t>BS</m:t>
                    </m:r>
                  </m:e>
                  <m:sub>
                    <m:r>
                      <w:rPr>
                        <w:rFonts w:ascii="Cambria Math" w:hAnsi="Cambria Math"/>
                      </w:rPr>
                      <m:t>it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m:t>
                    </m:r>
                    <m:r>
                      <w:rPr>
                        <w:rFonts w:ascii="Cambria Math" w:hAnsi="Cambria Math"/>
                      </w:rPr>
                      <m:t>ε</m:t>
                    </m:r>
                  </m:e>
                  <m:sub>
                    <m:r>
                      <w:rPr>
                        <w:rFonts w:ascii="Cambria Math" w:hAnsi="Cambria Math"/>
                      </w:rPr>
                      <m:t>it</m:t>
                    </m:r>
                  </m:sub>
                </m:sSub>
              </m:oMath>
            </m:oMathPara>
          </w:p>
          <w:p w14:paraId="16D574C2" w14:textId="77777777" w:rsidR="003303F7" w:rsidRDefault="003303F7" w:rsidP="00FD26B8"/>
        </w:tc>
        <w:tc>
          <w:tcPr>
            <w:tcW w:w="1525" w:type="dxa"/>
          </w:tcPr>
          <w:p w14:paraId="15ED0587" w14:textId="77777777" w:rsidR="003303F7" w:rsidRPr="00724527" w:rsidRDefault="003303F7" w:rsidP="00FD26B8">
            <w:pPr>
              <w:rPr>
                <w:b/>
                <w:bCs/>
              </w:rPr>
            </w:pPr>
            <w:r w:rsidRPr="00724527">
              <w:rPr>
                <w:b/>
                <w:bCs/>
              </w:rPr>
              <w:t xml:space="preserve">Equation </w:t>
            </w:r>
            <w:r w:rsidRPr="00724527">
              <w:rPr>
                <w:b/>
                <w:bCs/>
              </w:rPr>
              <w:fldChar w:fldCharType="begin"/>
            </w:r>
            <w:r w:rsidRPr="00724527">
              <w:rPr>
                <w:b/>
                <w:bCs/>
              </w:rPr>
              <w:instrText xml:space="preserve"> SEQ Equation \* ARABIC </w:instrText>
            </w:r>
            <w:r w:rsidRPr="00724527">
              <w:rPr>
                <w:b/>
                <w:bCs/>
              </w:rPr>
              <w:fldChar w:fldCharType="separate"/>
            </w:r>
            <w:r w:rsidRPr="00724527">
              <w:rPr>
                <w:b/>
                <w:bCs/>
                <w:noProof/>
              </w:rPr>
              <w:t>1</w:t>
            </w:r>
            <w:r w:rsidRPr="00724527">
              <w:rPr>
                <w:b/>
                <w:bCs/>
                <w:noProof/>
              </w:rPr>
              <w:fldChar w:fldCharType="end"/>
            </w:r>
          </w:p>
        </w:tc>
      </w:tr>
      <w:tr w:rsidR="003303F7" w14:paraId="371FFDDE" w14:textId="77777777" w:rsidTr="00FD2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 w:type="dxa"/>
            <w:tcBorders>
              <w:top w:val="nil"/>
              <w:left w:val="nil"/>
              <w:bottom w:val="nil"/>
              <w:right w:val="nil"/>
            </w:tcBorders>
          </w:tcPr>
          <w:p w14:paraId="4BD59937" w14:textId="77777777" w:rsidR="003303F7" w:rsidRDefault="003303F7" w:rsidP="00FD26B8"/>
        </w:tc>
        <w:tc>
          <w:tcPr>
            <w:tcW w:w="7560" w:type="dxa"/>
            <w:tcBorders>
              <w:top w:val="nil"/>
              <w:left w:val="nil"/>
              <w:bottom w:val="nil"/>
              <w:right w:val="nil"/>
            </w:tcBorders>
          </w:tcPr>
          <w:p w14:paraId="5C63B7FB" w14:textId="77777777" w:rsidR="003303F7" w:rsidRPr="003C4816" w:rsidRDefault="00AB053A" w:rsidP="00FD26B8">
            <w:pPr>
              <w:rPr>
                <w:rFonts w:eastAsiaTheme="minorEastAsia"/>
              </w:rPr>
            </w:pPr>
            <m:oMathPara>
              <m:oMath>
                <m:sSub>
                  <m:sSubPr>
                    <m:ctrlPr>
                      <w:rPr>
                        <w:rFonts w:ascii="Cambria Math" w:hAnsi="Cambria Math"/>
                      </w:rPr>
                    </m:ctrlPr>
                  </m:sSubPr>
                  <m:e>
                    <m:r>
                      <w:rPr>
                        <w:rFonts w:ascii="Cambria Math" w:hAnsi="Cambria Math"/>
                      </w:rPr>
                      <m:t>LR</m:t>
                    </m:r>
                    <m:r>
                      <m:rPr>
                        <m:sty m:val="p"/>
                      </m:rPr>
                      <w:rPr>
                        <w:rFonts w:ascii="Cambria Math" w:hAnsi="Cambria Math"/>
                      </w:rPr>
                      <m:t>_</m:t>
                    </m:r>
                    <m:r>
                      <w:rPr>
                        <w:rFonts w:ascii="Cambria Math" w:hAnsi="Cambria Math"/>
                      </w:rPr>
                      <m:t>I</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DA</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sSub>
                  <m:sSubPr>
                    <m:ctrlPr>
                      <w:rPr>
                        <w:rFonts w:ascii="Cambria Math" w:hAnsi="Cambria Math"/>
                      </w:rPr>
                    </m:ctrlPr>
                  </m:sSubPr>
                  <m:e>
                    <m:r>
                      <w:rPr>
                        <w:rFonts w:ascii="Cambria Math" w:hAnsi="Cambria Math"/>
                      </w:rPr>
                      <m:t>ROE</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3</m:t>
                    </m:r>
                  </m:sub>
                </m:sSub>
                <m:sSub>
                  <m:sSubPr>
                    <m:ctrlPr>
                      <w:rPr>
                        <w:rFonts w:ascii="Cambria Math" w:hAnsi="Cambria Math"/>
                      </w:rPr>
                    </m:ctrlPr>
                  </m:sSubPr>
                  <m:e>
                    <m:r>
                      <w:rPr>
                        <w:rFonts w:ascii="Cambria Math" w:hAnsi="Cambria Math"/>
                      </w:rPr>
                      <m:t>CR</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4</m:t>
                    </m:r>
                  </m:sub>
                </m:sSub>
                <m:sSub>
                  <m:sSubPr>
                    <m:ctrlPr>
                      <w:rPr>
                        <w:rFonts w:ascii="Cambria Math" w:hAnsi="Cambria Math"/>
                      </w:rPr>
                    </m:ctrlPr>
                  </m:sSubPr>
                  <m:e>
                    <m:r>
                      <w:rPr>
                        <w:rFonts w:ascii="Cambria Math" w:hAnsi="Cambria Math"/>
                      </w:rPr>
                      <m:t>CAR</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5</m:t>
                    </m:r>
                  </m:sub>
                </m:sSub>
                <m:sSub>
                  <m:sSubPr>
                    <m:ctrlPr>
                      <w:rPr>
                        <w:rFonts w:ascii="Cambria Math" w:hAnsi="Cambria Math"/>
                      </w:rPr>
                    </m:ctrlPr>
                  </m:sSubPr>
                  <m:e>
                    <m:r>
                      <w:rPr>
                        <w:rFonts w:ascii="Cambria Math" w:hAnsi="Cambria Math"/>
                      </w:rPr>
                      <m:t>BS</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6</m:t>
                    </m:r>
                  </m:sub>
                </m:sSub>
                <m:sSub>
                  <m:sSubPr>
                    <m:ctrlPr>
                      <w:rPr>
                        <w:rFonts w:ascii="Cambria Math" w:hAnsi="Cambria Math"/>
                      </w:rPr>
                    </m:ctrlPr>
                  </m:sSubPr>
                  <m:e>
                    <m:r>
                      <w:rPr>
                        <w:rFonts w:ascii="Cambria Math" w:hAnsi="Cambria Math"/>
                      </w:rPr>
                      <m:t>BS</m:t>
                    </m:r>
                  </m:e>
                  <m:sub>
                    <m:r>
                      <w:rPr>
                        <w:rFonts w:ascii="Cambria Math" w:hAnsi="Cambria Math"/>
                      </w:rPr>
                      <m:t>it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m:t>
                    </m:r>
                    <m:r>
                      <w:rPr>
                        <w:rFonts w:ascii="Cambria Math" w:hAnsi="Cambria Math"/>
                      </w:rPr>
                      <m:t>ε</m:t>
                    </m:r>
                  </m:e>
                  <m:sub>
                    <m:r>
                      <w:rPr>
                        <w:rFonts w:ascii="Cambria Math" w:hAnsi="Cambria Math"/>
                      </w:rPr>
                      <m:t>it</m:t>
                    </m:r>
                  </m:sub>
                </m:sSub>
              </m:oMath>
            </m:oMathPara>
          </w:p>
          <w:p w14:paraId="789612B0" w14:textId="77777777" w:rsidR="003303F7" w:rsidRDefault="003303F7" w:rsidP="00FD26B8"/>
        </w:tc>
        <w:tc>
          <w:tcPr>
            <w:tcW w:w="1525" w:type="dxa"/>
            <w:tcBorders>
              <w:top w:val="nil"/>
              <w:left w:val="nil"/>
              <w:bottom w:val="nil"/>
              <w:right w:val="nil"/>
            </w:tcBorders>
          </w:tcPr>
          <w:p w14:paraId="3057E977" w14:textId="77777777" w:rsidR="003303F7" w:rsidRPr="00724527" w:rsidRDefault="003303F7" w:rsidP="00FD26B8">
            <w:pPr>
              <w:pStyle w:val="Caption"/>
              <w:rPr>
                <w:b/>
                <w:bCs/>
                <w:i w:val="0"/>
                <w:iCs w:val="0"/>
                <w:color w:val="auto"/>
                <w:sz w:val="24"/>
                <w:szCs w:val="24"/>
              </w:rPr>
            </w:pPr>
            <w:r w:rsidRPr="00724527">
              <w:rPr>
                <w:b/>
                <w:bCs/>
                <w:i w:val="0"/>
                <w:iCs w:val="0"/>
                <w:color w:val="auto"/>
                <w:sz w:val="24"/>
                <w:szCs w:val="24"/>
              </w:rPr>
              <w:t xml:space="preserve">Equation </w:t>
            </w:r>
            <w:r w:rsidRPr="00724527">
              <w:rPr>
                <w:b/>
                <w:bCs/>
                <w:i w:val="0"/>
                <w:iCs w:val="0"/>
                <w:color w:val="auto"/>
                <w:sz w:val="24"/>
                <w:szCs w:val="24"/>
              </w:rPr>
              <w:fldChar w:fldCharType="begin"/>
            </w:r>
            <w:r w:rsidRPr="00724527">
              <w:rPr>
                <w:b/>
                <w:bCs/>
                <w:i w:val="0"/>
                <w:iCs w:val="0"/>
                <w:color w:val="auto"/>
                <w:sz w:val="24"/>
                <w:szCs w:val="24"/>
              </w:rPr>
              <w:instrText xml:space="preserve"> SEQ Equation \* ARABIC </w:instrText>
            </w:r>
            <w:r w:rsidRPr="00724527">
              <w:rPr>
                <w:b/>
                <w:bCs/>
                <w:i w:val="0"/>
                <w:iCs w:val="0"/>
                <w:color w:val="auto"/>
                <w:sz w:val="24"/>
                <w:szCs w:val="24"/>
              </w:rPr>
              <w:fldChar w:fldCharType="separate"/>
            </w:r>
            <w:r w:rsidRPr="00724527">
              <w:rPr>
                <w:b/>
                <w:bCs/>
                <w:i w:val="0"/>
                <w:iCs w:val="0"/>
                <w:noProof/>
                <w:color w:val="auto"/>
                <w:sz w:val="24"/>
                <w:szCs w:val="24"/>
              </w:rPr>
              <w:t>2</w:t>
            </w:r>
            <w:r w:rsidRPr="00724527">
              <w:rPr>
                <w:b/>
                <w:bCs/>
                <w:i w:val="0"/>
                <w:iCs w:val="0"/>
                <w:color w:val="auto"/>
                <w:sz w:val="24"/>
                <w:szCs w:val="24"/>
              </w:rPr>
              <w:fldChar w:fldCharType="end"/>
            </w:r>
          </w:p>
          <w:p w14:paraId="37A45A11" w14:textId="77777777" w:rsidR="003303F7" w:rsidRPr="009C2523" w:rsidRDefault="003303F7" w:rsidP="00FD26B8"/>
        </w:tc>
      </w:tr>
    </w:tbl>
    <w:p w14:paraId="615AF042" w14:textId="77777777" w:rsidR="003303F7" w:rsidRDefault="003303F7" w:rsidP="003303F7">
      <w:r>
        <w:t>The models are to be estimated using panel regression (fixed effect and random effect)</w:t>
      </w:r>
    </w:p>
    <w:p w14:paraId="78C0002B" w14:textId="77777777" w:rsidR="003303F7" w:rsidRPr="00296284" w:rsidRDefault="003303F7" w:rsidP="002B430C">
      <w:pPr>
        <w:pStyle w:val="Heading3"/>
      </w:pPr>
      <w:bookmarkStart w:id="7" w:name="_Toc48682019"/>
      <w:r w:rsidRPr="003C4816">
        <w:t>Variables Measurement</w:t>
      </w:r>
      <w:bookmarkEnd w:id="7"/>
    </w:p>
    <w:p w14:paraId="78D37CE9" w14:textId="680A1F9B" w:rsidR="003303F7" w:rsidRDefault="003303F7" w:rsidP="003303F7">
      <w:pPr>
        <w:rPr>
          <w:rtl/>
        </w:rPr>
      </w:pPr>
      <w:r w:rsidRPr="007F28DD">
        <w:t>The table illustrates the variables’ theoretical and operational definitions that have been employed in our investigation.</w:t>
      </w:r>
    </w:p>
    <w:p w14:paraId="676B67BD" w14:textId="466DAEDE" w:rsidR="009D1AD5" w:rsidRDefault="009D1AD5" w:rsidP="003303F7"/>
    <w:p w14:paraId="78DA5B9A" w14:textId="6BF924CB" w:rsidR="00BB2125" w:rsidRDefault="00BB2125" w:rsidP="003303F7"/>
    <w:p w14:paraId="500577B5" w14:textId="0F0386F0" w:rsidR="00BB2125" w:rsidRDefault="00BB2125" w:rsidP="003303F7"/>
    <w:p w14:paraId="155C4EB3" w14:textId="3BB81BF4" w:rsidR="00BB2125" w:rsidRDefault="00BB2125" w:rsidP="003303F7"/>
    <w:p w14:paraId="2115337D" w14:textId="77777777" w:rsidR="00BB2125" w:rsidRDefault="00BB2125" w:rsidP="003303F7">
      <w:pPr>
        <w:rPr>
          <w:rtl/>
        </w:rPr>
      </w:pPr>
    </w:p>
    <w:p w14:paraId="646BEA42" w14:textId="2F003FBD" w:rsidR="003303F7" w:rsidRPr="00256074" w:rsidRDefault="003303F7" w:rsidP="00065089">
      <w:pPr>
        <w:spacing w:after="0"/>
        <w:rPr>
          <w:b/>
          <w:bCs/>
        </w:rPr>
      </w:pPr>
      <w:bookmarkStart w:id="8" w:name="_Ref48667382"/>
      <w:bookmarkStart w:id="9" w:name="_Ref48667370"/>
      <w:bookmarkStart w:id="10" w:name="_Toc48684279"/>
      <w:r w:rsidRPr="00256074">
        <w:rPr>
          <w:b/>
          <w:bCs/>
        </w:rPr>
        <w:lastRenderedPageBreak/>
        <w:t xml:space="preserve">Table </w:t>
      </w:r>
      <w:r w:rsidR="009E67C3">
        <w:rPr>
          <w:b/>
          <w:bCs/>
        </w:rPr>
        <w:fldChar w:fldCharType="begin"/>
      </w:r>
      <w:r w:rsidR="009E67C3">
        <w:rPr>
          <w:b/>
          <w:bCs/>
        </w:rPr>
        <w:instrText xml:space="preserve"> SEQ Table \* ARABIC </w:instrText>
      </w:r>
      <w:r w:rsidR="009E67C3">
        <w:rPr>
          <w:b/>
          <w:bCs/>
        </w:rPr>
        <w:fldChar w:fldCharType="separate"/>
      </w:r>
      <w:r w:rsidR="00166E8B">
        <w:rPr>
          <w:b/>
          <w:bCs/>
          <w:noProof/>
        </w:rPr>
        <w:t>2</w:t>
      </w:r>
      <w:r w:rsidR="009E67C3">
        <w:rPr>
          <w:b/>
          <w:bCs/>
        </w:rPr>
        <w:fldChar w:fldCharType="end"/>
      </w:r>
      <w:bookmarkEnd w:id="8"/>
      <w:r w:rsidRPr="00256074">
        <w:rPr>
          <w:b/>
          <w:bCs/>
        </w:rPr>
        <w:t>: Study Variables</w:t>
      </w:r>
      <w:bookmarkEnd w:id="9"/>
      <w:bookmarkEnd w:id="10"/>
    </w:p>
    <w:tbl>
      <w:tblPr>
        <w:tblStyle w:val="TableGrid"/>
        <w:tblW w:w="9559" w:type="dxa"/>
        <w:tblInd w:w="-108" w:type="dxa"/>
        <w:tblLook w:val="04A0" w:firstRow="1" w:lastRow="0" w:firstColumn="1" w:lastColumn="0" w:noHBand="0" w:noVBand="1"/>
      </w:tblPr>
      <w:tblGrid>
        <w:gridCol w:w="2927"/>
        <w:gridCol w:w="1050"/>
        <w:gridCol w:w="5582"/>
      </w:tblGrid>
      <w:tr w:rsidR="003303F7" w:rsidRPr="00A904CE" w14:paraId="56291F25" w14:textId="77777777" w:rsidTr="003043E3">
        <w:tc>
          <w:tcPr>
            <w:tcW w:w="3129" w:type="dxa"/>
          </w:tcPr>
          <w:p w14:paraId="1B06CA4F" w14:textId="77777777" w:rsidR="003303F7" w:rsidRPr="00256074" w:rsidRDefault="003303F7" w:rsidP="00065089">
            <w:pPr>
              <w:rPr>
                <w:b/>
                <w:bCs/>
              </w:rPr>
            </w:pPr>
            <w:r w:rsidRPr="00256074">
              <w:rPr>
                <w:b/>
                <w:bCs/>
              </w:rPr>
              <w:t>Variable</w:t>
            </w:r>
          </w:p>
        </w:tc>
        <w:tc>
          <w:tcPr>
            <w:tcW w:w="484" w:type="dxa"/>
          </w:tcPr>
          <w:p w14:paraId="6E8BF47D" w14:textId="77777777" w:rsidR="003303F7" w:rsidRPr="00256074" w:rsidRDefault="003303F7" w:rsidP="00065089">
            <w:pPr>
              <w:rPr>
                <w:b/>
                <w:bCs/>
              </w:rPr>
            </w:pPr>
            <w:r w:rsidRPr="00256074">
              <w:rPr>
                <w:b/>
                <w:bCs/>
              </w:rPr>
              <w:t>Abbrev.</w:t>
            </w:r>
          </w:p>
        </w:tc>
        <w:tc>
          <w:tcPr>
            <w:tcW w:w="5946" w:type="dxa"/>
          </w:tcPr>
          <w:p w14:paraId="0A2F5DAB" w14:textId="77777777" w:rsidR="003303F7" w:rsidRPr="00256074" w:rsidRDefault="003303F7" w:rsidP="00065089">
            <w:pPr>
              <w:rPr>
                <w:b/>
                <w:bCs/>
              </w:rPr>
            </w:pPr>
            <w:r w:rsidRPr="00256074">
              <w:rPr>
                <w:b/>
                <w:bCs/>
              </w:rPr>
              <w:t>Measurement</w:t>
            </w:r>
          </w:p>
        </w:tc>
      </w:tr>
      <w:tr w:rsidR="003303F7" w14:paraId="4EBA0649" w14:textId="77777777" w:rsidTr="00FD26B8">
        <w:tc>
          <w:tcPr>
            <w:tcW w:w="9559" w:type="dxa"/>
            <w:gridSpan w:val="3"/>
          </w:tcPr>
          <w:p w14:paraId="029CA6DC" w14:textId="77777777" w:rsidR="003303F7" w:rsidRPr="00256074" w:rsidRDefault="003303F7" w:rsidP="002B430C">
            <w:pPr>
              <w:rPr>
                <w:b/>
                <w:bCs/>
              </w:rPr>
            </w:pPr>
            <w:r w:rsidRPr="00256074">
              <w:rPr>
                <w:b/>
                <w:bCs/>
              </w:rPr>
              <w:t xml:space="preserve">1. Dependent Variable: Liquidity Risk Proxy </w:t>
            </w:r>
          </w:p>
        </w:tc>
      </w:tr>
      <w:tr w:rsidR="003303F7" w14:paraId="5BC2A4DF" w14:textId="77777777" w:rsidTr="003043E3">
        <w:tc>
          <w:tcPr>
            <w:tcW w:w="3129" w:type="dxa"/>
          </w:tcPr>
          <w:p w14:paraId="518FF97C" w14:textId="77777777" w:rsidR="003303F7" w:rsidRPr="00935C94" w:rsidRDefault="003303F7" w:rsidP="002B430C">
            <w:r w:rsidRPr="00935C94">
              <w:t>Liquidity Risk</w:t>
            </w:r>
          </w:p>
        </w:tc>
        <w:tc>
          <w:tcPr>
            <w:tcW w:w="484" w:type="dxa"/>
          </w:tcPr>
          <w:p w14:paraId="1B62E829" w14:textId="77777777" w:rsidR="003303F7" w:rsidRPr="00935C94" w:rsidRDefault="003303F7" w:rsidP="002B430C">
            <w:r w:rsidRPr="00935C94">
              <w:t>LR</w:t>
            </w:r>
          </w:p>
        </w:tc>
        <w:tc>
          <w:tcPr>
            <w:tcW w:w="5946" w:type="dxa"/>
          </w:tcPr>
          <w:p w14:paraId="3C7125C4" w14:textId="77777777" w:rsidR="003303F7" w:rsidRPr="00935C94" w:rsidRDefault="003303F7" w:rsidP="002B430C">
            <w:r>
              <w:t>Total Customer deposits/Liquid Assets</w:t>
            </w:r>
          </w:p>
        </w:tc>
      </w:tr>
      <w:tr w:rsidR="003303F7" w14:paraId="7570A40D" w14:textId="77777777" w:rsidTr="00FD26B8">
        <w:tc>
          <w:tcPr>
            <w:tcW w:w="9559" w:type="dxa"/>
            <w:gridSpan w:val="3"/>
          </w:tcPr>
          <w:p w14:paraId="553BE297" w14:textId="77777777" w:rsidR="003303F7" w:rsidRPr="00935C94" w:rsidRDefault="003303F7" w:rsidP="002B430C">
            <w:pPr>
              <w:rPr>
                <w:rFonts w:asciiTheme="majorBidi" w:hAnsiTheme="majorBidi" w:cstheme="majorBidi"/>
              </w:rPr>
            </w:pPr>
          </w:p>
        </w:tc>
      </w:tr>
      <w:tr w:rsidR="003303F7" w14:paraId="2967126D" w14:textId="77777777" w:rsidTr="00FD26B8">
        <w:tc>
          <w:tcPr>
            <w:tcW w:w="9559" w:type="dxa"/>
            <w:gridSpan w:val="3"/>
          </w:tcPr>
          <w:p w14:paraId="20604C97" w14:textId="4889389A" w:rsidR="003303F7" w:rsidRPr="00256074" w:rsidRDefault="003303F7" w:rsidP="002B430C">
            <w:pPr>
              <w:rPr>
                <w:rFonts w:asciiTheme="majorBidi" w:hAnsiTheme="majorBidi" w:cstheme="majorBidi"/>
                <w:b/>
                <w:bCs/>
              </w:rPr>
            </w:pPr>
            <w:r w:rsidRPr="00256074">
              <w:rPr>
                <w:b/>
                <w:bCs/>
              </w:rPr>
              <w:t>2. Independent Variables: Board Characteristics</w:t>
            </w:r>
          </w:p>
        </w:tc>
      </w:tr>
      <w:tr w:rsidR="003303F7" w14:paraId="4D0F7FFC" w14:textId="77777777" w:rsidTr="003043E3">
        <w:tc>
          <w:tcPr>
            <w:tcW w:w="3129" w:type="dxa"/>
          </w:tcPr>
          <w:p w14:paraId="723AA3B4" w14:textId="77777777" w:rsidR="003303F7" w:rsidRPr="00935C94" w:rsidRDefault="003303F7" w:rsidP="002B430C">
            <w:r>
              <w:t>Deposits to Assets</w:t>
            </w:r>
          </w:p>
        </w:tc>
        <w:tc>
          <w:tcPr>
            <w:tcW w:w="484" w:type="dxa"/>
          </w:tcPr>
          <w:p w14:paraId="4EA734DD" w14:textId="77777777" w:rsidR="003303F7" w:rsidRPr="00935C94" w:rsidRDefault="003303F7" w:rsidP="002B430C">
            <w:r>
              <w:t>DA</w:t>
            </w:r>
          </w:p>
        </w:tc>
        <w:tc>
          <w:tcPr>
            <w:tcW w:w="5946" w:type="dxa"/>
          </w:tcPr>
          <w:p w14:paraId="7FA3E184" w14:textId="28CC0563" w:rsidR="003303F7" w:rsidRPr="00935C94" w:rsidRDefault="003303F7" w:rsidP="002B430C">
            <w:pPr>
              <w:rPr>
                <w:rFonts w:asciiTheme="majorBidi" w:hAnsiTheme="majorBidi" w:cstheme="majorBidi"/>
              </w:rPr>
            </w:pPr>
            <w:r>
              <w:rPr>
                <w:rFonts w:asciiTheme="majorBidi" w:hAnsiTheme="majorBidi" w:cstheme="majorBidi"/>
              </w:rPr>
              <w:t>Total deposits to Assets</w:t>
            </w:r>
          </w:p>
        </w:tc>
      </w:tr>
      <w:tr w:rsidR="003303F7" w14:paraId="7ED1B04C" w14:textId="77777777" w:rsidTr="00010983">
        <w:trPr>
          <w:trHeight w:val="647"/>
        </w:trPr>
        <w:tc>
          <w:tcPr>
            <w:tcW w:w="3129" w:type="dxa"/>
          </w:tcPr>
          <w:p w14:paraId="66ADCA46" w14:textId="77777777" w:rsidR="003303F7" w:rsidRPr="00935C94" w:rsidRDefault="003303F7" w:rsidP="002B430C">
            <w:r w:rsidRPr="00935C94">
              <w:t>Return on Equity</w:t>
            </w:r>
          </w:p>
        </w:tc>
        <w:tc>
          <w:tcPr>
            <w:tcW w:w="484" w:type="dxa"/>
          </w:tcPr>
          <w:p w14:paraId="3435D691" w14:textId="77777777" w:rsidR="003303F7" w:rsidRPr="00935C94" w:rsidRDefault="003303F7" w:rsidP="002B430C">
            <w:r w:rsidRPr="00935C94">
              <w:t>ROE</w:t>
            </w:r>
          </w:p>
        </w:tc>
        <w:tc>
          <w:tcPr>
            <w:tcW w:w="5946" w:type="dxa"/>
          </w:tcPr>
          <w:p w14:paraId="10754B2D" w14:textId="77777777" w:rsidR="003303F7" w:rsidRPr="00935C94" w:rsidRDefault="003303F7" w:rsidP="002B430C">
            <w:pPr>
              <w:rPr>
                <w:rFonts w:asciiTheme="majorBidi" w:hAnsiTheme="majorBidi" w:cstheme="majorBidi"/>
              </w:rPr>
            </w:pPr>
            <w:r w:rsidRPr="00935C94">
              <w:rPr>
                <w:rFonts w:asciiTheme="majorBidi" w:hAnsiTheme="majorBidi" w:cstheme="majorBidi"/>
              </w:rPr>
              <w:t xml:space="preserve">Earnings Available for common stockholders/Common Stock Equity </w:t>
            </w:r>
          </w:p>
        </w:tc>
      </w:tr>
      <w:tr w:rsidR="003303F7" w14:paraId="0E421835" w14:textId="77777777" w:rsidTr="00010983">
        <w:trPr>
          <w:trHeight w:val="512"/>
        </w:trPr>
        <w:tc>
          <w:tcPr>
            <w:tcW w:w="3129" w:type="dxa"/>
          </w:tcPr>
          <w:p w14:paraId="40844462" w14:textId="50ACB1F4" w:rsidR="003303F7" w:rsidRPr="00935C94" w:rsidRDefault="003303F7" w:rsidP="002B430C">
            <w:r>
              <w:rPr>
                <w:rFonts w:asciiTheme="majorBidi" w:hAnsiTheme="majorBidi" w:cstheme="majorBidi"/>
              </w:rPr>
              <w:t>Cash Ratio</w:t>
            </w:r>
          </w:p>
        </w:tc>
        <w:tc>
          <w:tcPr>
            <w:tcW w:w="484" w:type="dxa"/>
          </w:tcPr>
          <w:p w14:paraId="2D40362D" w14:textId="77777777" w:rsidR="003303F7" w:rsidRPr="00935C94" w:rsidRDefault="003303F7" w:rsidP="002B430C">
            <w:r>
              <w:t>CR</w:t>
            </w:r>
          </w:p>
        </w:tc>
        <w:tc>
          <w:tcPr>
            <w:tcW w:w="5946" w:type="dxa"/>
          </w:tcPr>
          <w:p w14:paraId="136B1645" w14:textId="3F879D5C" w:rsidR="003303F7" w:rsidRPr="00935C94" w:rsidRDefault="003303F7" w:rsidP="002B430C">
            <w:pPr>
              <w:rPr>
                <w:rFonts w:asciiTheme="majorBidi" w:hAnsiTheme="majorBidi" w:cstheme="majorBidi"/>
              </w:rPr>
            </w:pPr>
            <w:r w:rsidRPr="00790F85">
              <w:rPr>
                <w:rFonts w:asciiTheme="majorBidi" w:hAnsiTheme="majorBidi" w:cstheme="majorBidi"/>
              </w:rPr>
              <w:t>cash and cash equivalents to total assets</w:t>
            </w:r>
            <w:r w:rsidR="00010983">
              <w:rPr>
                <w:rFonts w:asciiTheme="majorBidi" w:hAnsiTheme="majorBidi" w:cstheme="majorBidi"/>
              </w:rPr>
              <w:tab/>
            </w:r>
          </w:p>
        </w:tc>
      </w:tr>
      <w:tr w:rsidR="003303F7" w14:paraId="1DDD094D" w14:textId="77777777" w:rsidTr="003043E3">
        <w:tc>
          <w:tcPr>
            <w:tcW w:w="3129" w:type="dxa"/>
          </w:tcPr>
          <w:p w14:paraId="18A75324" w14:textId="77777777" w:rsidR="003303F7" w:rsidRPr="00935C94" w:rsidRDefault="003303F7" w:rsidP="002B430C">
            <w:r>
              <w:t>Securities</w:t>
            </w:r>
          </w:p>
        </w:tc>
        <w:tc>
          <w:tcPr>
            <w:tcW w:w="484" w:type="dxa"/>
          </w:tcPr>
          <w:p w14:paraId="662D5428" w14:textId="77777777" w:rsidR="003303F7" w:rsidRPr="00935C94" w:rsidRDefault="003303F7" w:rsidP="002B430C">
            <w:r>
              <w:t>SEC</w:t>
            </w:r>
          </w:p>
        </w:tc>
        <w:tc>
          <w:tcPr>
            <w:tcW w:w="5946" w:type="dxa"/>
          </w:tcPr>
          <w:p w14:paraId="740278B1" w14:textId="77777777" w:rsidR="003303F7" w:rsidRPr="00935C94" w:rsidRDefault="003303F7" w:rsidP="002B430C">
            <w:pPr>
              <w:rPr>
                <w:rFonts w:asciiTheme="majorBidi" w:hAnsiTheme="majorBidi" w:cstheme="majorBidi"/>
              </w:rPr>
            </w:pPr>
            <w:r>
              <w:rPr>
                <w:rFonts w:asciiTheme="majorBidi" w:hAnsiTheme="majorBidi" w:cstheme="majorBidi"/>
              </w:rPr>
              <w:t>S</w:t>
            </w:r>
            <w:r w:rsidRPr="00D072A6">
              <w:rPr>
                <w:rFonts w:asciiTheme="majorBidi" w:hAnsiTheme="majorBidi" w:cstheme="majorBidi"/>
              </w:rPr>
              <w:t>hort-term securities to total bank’s assets</w:t>
            </w:r>
          </w:p>
        </w:tc>
      </w:tr>
      <w:tr w:rsidR="003303F7" w14:paraId="675EAE19" w14:textId="77777777" w:rsidTr="00FD26B8">
        <w:tc>
          <w:tcPr>
            <w:tcW w:w="9559" w:type="dxa"/>
            <w:gridSpan w:val="3"/>
          </w:tcPr>
          <w:p w14:paraId="43BA9122" w14:textId="77777777" w:rsidR="003303F7" w:rsidRPr="00935C94" w:rsidRDefault="003303F7" w:rsidP="002B430C"/>
        </w:tc>
      </w:tr>
      <w:tr w:rsidR="003303F7" w14:paraId="4DF20797" w14:textId="77777777" w:rsidTr="00FD26B8">
        <w:tc>
          <w:tcPr>
            <w:tcW w:w="9559" w:type="dxa"/>
            <w:gridSpan w:val="3"/>
          </w:tcPr>
          <w:p w14:paraId="3649F2BD" w14:textId="77777777" w:rsidR="003303F7" w:rsidRPr="00256074" w:rsidRDefault="003303F7" w:rsidP="002B430C">
            <w:pPr>
              <w:rPr>
                <w:b/>
                <w:bCs/>
              </w:rPr>
            </w:pPr>
            <w:r w:rsidRPr="00256074">
              <w:rPr>
                <w:b/>
                <w:bCs/>
              </w:rPr>
              <w:t>3. Control Variables</w:t>
            </w:r>
          </w:p>
        </w:tc>
      </w:tr>
      <w:tr w:rsidR="003303F7" w:rsidRPr="00F04AE5" w14:paraId="12FEC2C5" w14:textId="77777777" w:rsidTr="003043E3">
        <w:tc>
          <w:tcPr>
            <w:tcW w:w="3129" w:type="dxa"/>
          </w:tcPr>
          <w:p w14:paraId="5919F7E8" w14:textId="77777777" w:rsidR="003303F7" w:rsidRPr="00935C94" w:rsidRDefault="003303F7" w:rsidP="002B430C">
            <w:r w:rsidRPr="00935C94">
              <w:t>Bank Size</w:t>
            </w:r>
          </w:p>
        </w:tc>
        <w:tc>
          <w:tcPr>
            <w:tcW w:w="484" w:type="dxa"/>
          </w:tcPr>
          <w:p w14:paraId="54486722" w14:textId="77777777" w:rsidR="003303F7" w:rsidRPr="00935C94" w:rsidRDefault="003303F7" w:rsidP="002B430C">
            <w:r w:rsidRPr="00935C94">
              <w:t>BS</w:t>
            </w:r>
          </w:p>
        </w:tc>
        <w:tc>
          <w:tcPr>
            <w:tcW w:w="5946" w:type="dxa"/>
          </w:tcPr>
          <w:p w14:paraId="78A953BF" w14:textId="704C5094" w:rsidR="003303F7" w:rsidRPr="00935C94" w:rsidRDefault="003303F7" w:rsidP="002B430C">
            <w:r w:rsidRPr="00935C94">
              <w:t xml:space="preserve">Logarithm of the Bank’s total assets in US </w:t>
            </w:r>
            <w:r w:rsidR="006C7C7D">
              <w:t>d</w:t>
            </w:r>
            <w:r w:rsidRPr="00935C94">
              <w:t>ollars</w:t>
            </w:r>
          </w:p>
        </w:tc>
      </w:tr>
    </w:tbl>
    <w:p w14:paraId="5282C71F" w14:textId="77777777" w:rsidR="003303F7" w:rsidRDefault="003303F7" w:rsidP="002B430C"/>
    <w:p w14:paraId="7E1DDC01" w14:textId="77777777" w:rsidR="003303F7" w:rsidRPr="00101B7B" w:rsidRDefault="003303F7" w:rsidP="002B430C">
      <w:r w:rsidRPr="007F28DD">
        <w:t xml:space="preserve">The Analysis which has been performed using a balanced panel regression includes five independent variables. While the majority are self-explanatory as indicated in  </w:t>
      </w:r>
      <w:r w:rsidRPr="00101B7B">
        <w:fldChar w:fldCharType="begin"/>
      </w:r>
      <w:r w:rsidRPr="00101B7B">
        <w:instrText xml:space="preserve"> REF _Ref48667382 \h  \* MERGEFORMAT </w:instrText>
      </w:r>
      <w:r w:rsidRPr="00101B7B">
        <w:fldChar w:fldCharType="separate"/>
      </w:r>
      <w:r w:rsidRPr="00101B7B">
        <w:t xml:space="preserve">Table </w:t>
      </w:r>
      <w:r w:rsidRPr="00101B7B">
        <w:rPr>
          <w:cs/>
        </w:rPr>
        <w:t>‎</w:t>
      </w:r>
      <w:r w:rsidRPr="00101B7B">
        <w:t>4</w:t>
      </w:r>
      <w:r w:rsidRPr="00101B7B">
        <w:noBreakHyphen/>
        <w:t>1</w:t>
      </w:r>
      <w:r w:rsidRPr="00101B7B">
        <w:fldChar w:fldCharType="end"/>
      </w:r>
      <w:r w:rsidRPr="00101B7B">
        <w:t xml:space="preserve">. </w:t>
      </w:r>
    </w:p>
    <w:p w14:paraId="5A8E1A35" w14:textId="77777777" w:rsidR="003303F7" w:rsidRPr="006C72D2" w:rsidRDefault="003303F7" w:rsidP="002B430C">
      <w:pPr>
        <w:pStyle w:val="Heading3"/>
      </w:pPr>
      <w:bookmarkStart w:id="11" w:name="_Toc48682020"/>
      <w:r w:rsidRPr="006C72D2">
        <w:t>Characteristics of Variables and the Model</w:t>
      </w:r>
      <w:bookmarkEnd w:id="11"/>
    </w:p>
    <w:p w14:paraId="60B58E1F" w14:textId="6D3BDD7E" w:rsidR="00F562FA" w:rsidRDefault="003303F7" w:rsidP="00F562FA">
      <w:r w:rsidRPr="004A4348">
        <w:rPr>
          <w:b/>
          <w:bCs/>
        </w:rPr>
        <w:t>Liquidity Risk (LR):</w:t>
      </w:r>
      <w:r w:rsidRPr="00A70204">
        <w:t xml:space="preserve"> it is</w:t>
      </w:r>
      <w:r>
        <w:t xml:space="preserve"> the</w:t>
      </w:r>
      <w:r w:rsidRPr="00A70204">
        <w:t xml:space="preserve"> dependent variable in this study. It measured as the ratio of total customers’ deposits to liquid assets. The total deposits include the depositors’ funds (current, saving and investment accounts) while the liquid assets refer to the cash and cash equivalent plus the easily convertible assets to cash (such as short-term trading securities - Sukuk). The greater the </w:t>
      </w:r>
      <w:r w:rsidRPr="00F562FA">
        <w:t xml:space="preserve">ratio the higher exposure to liquidity risk, as it indicates low liquid assets availability to meet the depositors’ withdrawals at time of need. Such ratio used by </w:t>
      </w:r>
      <w:r w:rsidR="001F59A9" w:rsidRPr="00F562FA">
        <w:fldChar w:fldCharType="begin"/>
      </w:r>
      <w:r w:rsidR="00895548">
        <w:instrText xml:space="preserve"> ADDIN EN.CITE &lt;EndNote&gt;&lt;Cite&gt;&lt;Author&gt;Shaikh&lt;/Author&gt;&lt;Year&gt;2015&lt;/Year&gt;&lt;RecNum&gt;18&lt;/RecNum&gt;&lt;DisplayText&gt;(Shaikh, 2015)&lt;/DisplayText&gt;&lt;record&gt;&lt;rec-number&gt;18&lt;/rec-number&gt;&lt;foreign-keys&gt;&lt;key app="EN" db-id="s5wfp0f2qf99z4e9dvmvrwt192ff2arrfzfv" timestamp="0"&gt;18&lt;/key&gt;&lt;/foreign-keys&gt;&lt;ref-type name="Journal Article"&gt;17&lt;/ref-type&gt;&lt;contributors&gt;&lt;authors&gt;&lt;author&gt;Shaikh, Salman Ahmed Ahmed &lt;/author&gt;&lt;/authors&gt;&lt;/contributors&gt;&lt;titles&gt;&lt;title&gt;Panel Data Estimation of Liquidity Risk Determinants in Islamic Banks: A Case Study of Pakistan&lt;/title&gt;&lt;secondary-title&gt;Journal of Islamic Banking Finance&lt;/secondary-title&gt;&lt;/titles&gt;&lt;volume&gt;32&lt;/volume&gt;&lt;number&gt;4&lt;/number&gt;&lt;dates&gt;&lt;year&gt;2015&lt;/year&gt;&lt;/dates&gt;&lt;urls&gt;&lt;/urls&gt;&lt;/record&gt;&lt;/Cite&gt;&lt;/EndNote&gt;</w:instrText>
      </w:r>
      <w:r w:rsidR="001F59A9" w:rsidRPr="00F562FA">
        <w:fldChar w:fldCharType="separate"/>
      </w:r>
      <w:r w:rsidR="001F59A9" w:rsidRPr="00F562FA">
        <w:rPr>
          <w:noProof/>
        </w:rPr>
        <w:t>(Shaikh, 2015)</w:t>
      </w:r>
      <w:r w:rsidR="001F59A9" w:rsidRPr="00F562FA">
        <w:fldChar w:fldCharType="end"/>
      </w:r>
      <w:r w:rsidR="001F59A9" w:rsidRPr="00F562FA">
        <w:t xml:space="preserve"> and </w:t>
      </w:r>
      <w:r w:rsidRPr="00F562FA">
        <w:t xml:space="preserve"> </w:t>
      </w:r>
      <w:r w:rsidR="00F562FA" w:rsidRPr="00F562FA">
        <w:fldChar w:fldCharType="begin"/>
      </w:r>
      <w:r w:rsidR="00895548">
        <w:instrText xml:space="preserve"> ADDIN EN.CITE &lt;EndNote&gt;&lt;Cite&gt;&lt;Author&gt;Gafrej&lt;/Author&gt;&lt;Year&gt;2017&lt;/Year&gt;&lt;RecNum&gt;19&lt;/RecNum&gt;&lt;DisplayText&gt;(Gafrej &amp;amp; Abbes, 2017)&lt;/DisplayText&gt;&lt;record&gt;&lt;rec-number&gt;19&lt;/rec-number&gt;&lt;foreign-keys&gt;&lt;key app="EN" db-id="s5wfp0f2qf99z4e9dvmvrwt192ff2arrfzfv" timestamp="0"&gt;19&lt;/key&gt;&lt;/foreign-keys&gt;&lt;ref-type name="Journal Article"&gt;17&lt;/ref-type&gt;&lt;contributors&gt;&lt;authors&gt;&lt;author&gt;Gafrej, Oussama&lt;/author&gt;&lt;author&gt;Abbes, Mouna Boujelbene &lt;/author&gt;&lt;/authors&gt;&lt;/contributors&gt;&lt;titles&gt;&lt;title&gt;Liquidity Determinants of Islamic and Conventional Banks&lt;/title&gt;&lt;secondary-title&gt;Journal of Islamic Banking and Finance &lt;/secondary-title&gt;&lt;/titles&gt;&lt;pages&gt;44&lt;/pages&gt;&lt;volume&gt;34&lt;/volume&gt;&lt;number&gt;2&lt;/number&gt;&lt;dates&gt;&lt;year&gt;2017&lt;/year&gt;&lt;/dates&gt;&lt;urls&gt;&lt;/urls&gt;&lt;/record&gt;&lt;/Cite&gt;&lt;/EndNote&gt;</w:instrText>
      </w:r>
      <w:r w:rsidR="00F562FA" w:rsidRPr="00F562FA">
        <w:fldChar w:fldCharType="separate"/>
      </w:r>
      <w:r w:rsidR="00F562FA" w:rsidRPr="00F562FA">
        <w:rPr>
          <w:noProof/>
        </w:rPr>
        <w:t>(Gafrej &amp; Abbes, 2017)</w:t>
      </w:r>
      <w:r w:rsidR="00F562FA" w:rsidRPr="00F562FA">
        <w:fldChar w:fldCharType="end"/>
      </w:r>
    </w:p>
    <w:p w14:paraId="72563E70" w14:textId="4EA9C0CE" w:rsidR="003303F7" w:rsidRPr="00A70204" w:rsidRDefault="003303F7" w:rsidP="00F562FA">
      <w:r w:rsidRPr="004A4348">
        <w:rPr>
          <w:b/>
          <w:bCs/>
        </w:rPr>
        <w:t>Deposit to Assets (DA):</w:t>
      </w:r>
      <w:r w:rsidRPr="00A70204">
        <w:t xml:space="preserve"> this ratio indicates the percentage of assets which are funded by customers’ deposits, and it considers inverse measure of liquidity </w:t>
      </w:r>
      <w:r w:rsidR="00B75033">
        <w:fldChar w:fldCharType="begin"/>
      </w:r>
      <w:r w:rsidR="00895548">
        <w:instrText xml:space="preserve"> ADDIN EN.CITE &lt;EndNote&gt;&lt;Cite&gt;&lt;Author&gt;Milošević-Avdalović&lt;/Author&gt;&lt;Year&gt;2018&lt;/Year&gt;&lt;RecNum&gt;10&lt;/RecNum&gt;&lt;DisplayText&gt;(Milošević-Avdalović, 2018)&lt;/DisplayText&gt;&lt;record&gt;&lt;rec-number&gt;10&lt;/rec-number&gt;&lt;foreign-keys&gt;&lt;key app="EN" db-id="s5wfp0f2qf99z4e9dvmvrwt192ff2arrfzfv" timestamp="0"&gt;10&lt;/key&gt;&lt;/foreign-keys&gt;&lt;ref-type name="Journal Article"&gt;17&lt;/ref-type&gt;&lt;contributors&gt;&lt;authors&gt;&lt;author&gt;Milošević-Avdalović&lt;/author&gt;&lt;/authors&gt;&lt;/contributors&gt;&lt;titles&gt;&lt;title&gt;The impact of bank-specific factors on the liquidity of commercial banks in Serbia&lt;/title&gt;&lt;secondary-title&gt;Ekonomika preduzeća&amp;#xD;&lt;/secondary-title&gt;&lt;/titles&gt;&lt;pages&gt;257-265&lt;/pages&gt;&lt;volume&gt;66&lt;/volume&gt;&lt;number&gt;3-4&lt;/number&gt;&lt;dates&gt;&lt;year&gt;2018&lt;/year&gt;&lt;/dates&gt;&lt;isbn&gt;0353-443X&lt;/isbn&gt;&lt;urls&gt;&lt;/urls&gt;&lt;/record&gt;&lt;/Cite&gt;&lt;/EndNote&gt;</w:instrText>
      </w:r>
      <w:r w:rsidR="00B75033">
        <w:fldChar w:fldCharType="separate"/>
      </w:r>
      <w:r w:rsidR="00B75033">
        <w:rPr>
          <w:noProof/>
        </w:rPr>
        <w:t>(Milošević-Avdalović, 2018)</w:t>
      </w:r>
      <w:r w:rsidR="00B75033">
        <w:fldChar w:fldCharType="end"/>
      </w:r>
      <w:r w:rsidRPr="00A70204">
        <w:t xml:space="preserve"> as these deposits are subject to withdrawals. The increase in this ratio indicates a higher level of </w:t>
      </w:r>
      <w:r w:rsidRPr="00A70204">
        <w:lastRenderedPageBreak/>
        <w:t xml:space="preserve">liquidity risk due to significant volume of financing the assets from the customers deposits. Such </w:t>
      </w:r>
      <w:r w:rsidRPr="00B75033">
        <w:t>ratio used</w:t>
      </w:r>
      <w:r w:rsidR="00B75033" w:rsidRPr="00B75033">
        <w:t xml:space="preserve"> by </w:t>
      </w:r>
      <w:r w:rsidR="00B75033" w:rsidRPr="00B75033">
        <w:fldChar w:fldCharType="begin"/>
      </w:r>
      <w:r w:rsidR="00895548">
        <w:instrText xml:space="preserve"> ADDIN EN.CITE &lt;EndNote&gt;&lt;Cite&gt;&lt;Author&gt;Milošević-Avdalović&lt;/Author&gt;&lt;Year&gt;2016&lt;/Year&gt;&lt;RecNum&gt;11&lt;/RecNum&gt;&lt;DisplayText&gt;(Milošević-Avdalović &amp;amp; Kalaš, 2016)&lt;/DisplayText&gt;&lt;record&gt;&lt;rec-number&gt;11&lt;/rec-number&gt;&lt;foreign-keys&gt;&lt;key app="EN" db-id="s5wfp0f2qf99z4e9dvmvrwt192ff2arrfzfv" timestamp="0"&gt;11&lt;/key&gt;&lt;/foreign-keys&gt;&lt;ref-type name="Journal Article"&gt;17&lt;/ref-type&gt;&lt;contributors&gt;&lt;authors&gt;&lt;author&gt;Milošević-Avdalović, Snežana&lt;/author&gt;&lt;author&gt;Kalaš, Branimir &lt;/author&gt;&lt;/authors&gt;&lt;/contributors&gt;&lt;titles&gt;&lt;title&gt;Determinants of deposit potential as inverse liquidity indicator of commercial banks in Serbia&lt;/title&gt;&lt;secondary-title&gt;Industrija&lt;/secondary-title&gt;&lt;/titles&gt;&lt;pages&gt;61-76&lt;/pages&gt;&lt;volume&gt;44&lt;/volume&gt;&lt;number&gt;3&lt;/number&gt;&lt;dates&gt;&lt;year&gt;2016&lt;/year&gt;&lt;/dates&gt;&lt;isbn&gt;0350-0373&lt;/isbn&gt;&lt;urls&gt;&lt;/urls&gt;&lt;/record&gt;&lt;/Cite&gt;&lt;/EndNote&gt;</w:instrText>
      </w:r>
      <w:r w:rsidR="00B75033" w:rsidRPr="00B75033">
        <w:fldChar w:fldCharType="separate"/>
      </w:r>
      <w:r w:rsidR="00B75033" w:rsidRPr="00B75033">
        <w:rPr>
          <w:noProof/>
        </w:rPr>
        <w:t>(Milošević-Avdalović &amp; Kalaš, 2016)</w:t>
      </w:r>
      <w:r w:rsidR="00B75033" w:rsidRPr="00B75033">
        <w:fldChar w:fldCharType="end"/>
      </w:r>
      <w:r w:rsidR="00B75033" w:rsidRPr="00B75033">
        <w:t xml:space="preserve"> and</w:t>
      </w:r>
      <w:r w:rsidRPr="00B75033">
        <w:t xml:space="preserve"> </w:t>
      </w:r>
      <w:r w:rsidR="00B75033" w:rsidRPr="00B75033">
        <w:fldChar w:fldCharType="begin"/>
      </w:r>
      <w:r w:rsidR="00895548">
        <w:instrText xml:space="preserve"> ADDIN EN.CITE &lt;EndNote&gt;&lt;Cite&gt;&lt;Author&gt;Alzoubi&lt;/Author&gt;&lt;Year&gt;2017&lt;/Year&gt;&lt;RecNum&gt;13&lt;/RecNum&gt;&lt;DisplayText&gt;(Alzoubi, 2017)&lt;/DisplayText&gt;&lt;record&gt;&lt;rec-number&gt;13&lt;/rec-number&gt;&lt;foreign-keys&gt;&lt;key app="EN" db-id="s5wfp0f2qf99z4e9dvmvrwt192ff2arrfzfv" timestamp="0"&gt;13&lt;/key&gt;&lt;/foreign-keys&gt;&lt;ref-type name="Journal Article"&gt;17&lt;/ref-type&gt;&lt;contributors&gt;&lt;authors&gt;&lt;author&gt;Alzoubi, Tariq &lt;/author&gt;&lt;/authors&gt;&lt;/contributors&gt;&lt;titles&gt;&lt;title&gt;Determinants of liquidity risk in Islamic banks&lt;/title&gt;&lt;secondary-title&gt;Banks and Bank Systems&lt;/secondary-title&gt;&lt;/titles&gt;&lt;pages&gt;142-148&lt;/pages&gt;&lt;number&gt;12,№ 3&lt;/number&gt;&lt;dates&gt;&lt;year&gt;2017&lt;/year&gt;&lt;/dates&gt;&lt;isbn&gt;1816-7403&lt;/isbn&gt;&lt;urls&gt;&lt;/urls&gt;&lt;/record&gt;&lt;/Cite&gt;&lt;/EndNote&gt;</w:instrText>
      </w:r>
      <w:r w:rsidR="00B75033" w:rsidRPr="00B75033">
        <w:fldChar w:fldCharType="separate"/>
      </w:r>
      <w:r w:rsidR="00B75033" w:rsidRPr="00B75033">
        <w:rPr>
          <w:noProof/>
        </w:rPr>
        <w:t>(Alzoubi, 2017)</w:t>
      </w:r>
      <w:r w:rsidR="00B75033" w:rsidRPr="00B75033">
        <w:fldChar w:fldCharType="end"/>
      </w:r>
      <w:r w:rsidR="00B75033">
        <w:t>.</w:t>
      </w:r>
    </w:p>
    <w:p w14:paraId="71A63F01" w14:textId="390EA5FC" w:rsidR="003303F7" w:rsidRDefault="003303F7" w:rsidP="003303F7">
      <w:r w:rsidRPr="004A4348">
        <w:rPr>
          <w:b/>
          <w:bCs/>
        </w:rPr>
        <w:t>Cash Ratio (CR):</w:t>
      </w:r>
      <w:r w:rsidRPr="00A70204">
        <w:t xml:space="preserve"> cash ratio is measured as cash and cash equivalents to total assets. It refers to liquidity buffer that maintained by bank’s expectations for meeting the quick obligations. The more cash and cash equivalents at bank the less exposure to liquidity risk. Such ratio applied by </w:t>
      </w:r>
      <w:r w:rsidR="00EC6133" w:rsidRPr="00EC6133">
        <w:fldChar w:fldCharType="begin"/>
      </w:r>
      <w:r w:rsidR="00895548">
        <w:instrText xml:space="preserve"> ADDIN EN.CITE &lt;EndNote&gt;&lt;Cite&gt;&lt;Author&gt;Jedidia&lt;/Author&gt;&lt;Year&gt;2015&lt;/Year&gt;&lt;RecNum&gt;15&lt;/RecNum&gt;&lt;DisplayText&gt;(Jedidia &amp;amp; Hamza, 2015)&lt;/DisplayText&gt;&lt;record&gt;&lt;rec-number&gt;15&lt;/rec-number&gt;&lt;foreign-keys&gt;&lt;key app="EN" db-id="s5wfp0f2qf99z4e9dvmvrwt192ff2arrfzfv" timestamp="0"&gt;15&lt;/key&gt;&lt;/foreign-keys&gt;&lt;ref-type name="Journal Article"&gt;17&lt;/ref-type&gt;&lt;contributors&gt;&lt;authors&gt;&lt;author&gt;Jedidia, Khoutem Ben&lt;/author&gt;&lt;author&gt;Hamza, Hichem &lt;/author&gt;&lt;/authors&gt;&lt;/contributors&gt;&lt;titles&gt;&lt;title&gt;Determinants of liquidity risk in Islamic banks: A panel study&lt;/title&gt;&lt;secondary-title&gt;Islamic Management and Business Management Economics&lt;/secondary-title&gt;&lt;/titles&gt;&lt;pages&gt;137-146&lt;/pages&gt;&lt;volume&gt;2&lt;/volume&gt;&lt;number&gt;2&lt;/number&gt;&lt;dates&gt;&lt;year&gt;2015&lt;/year&gt;&lt;/dates&gt;&lt;urls&gt;&lt;/urls&gt;&lt;/record&gt;&lt;/Cite&gt;&lt;/EndNote&gt;</w:instrText>
      </w:r>
      <w:r w:rsidR="00EC6133" w:rsidRPr="00EC6133">
        <w:fldChar w:fldCharType="separate"/>
      </w:r>
      <w:r w:rsidR="00EC6133" w:rsidRPr="00EC6133">
        <w:rPr>
          <w:noProof/>
        </w:rPr>
        <w:t>(Jedidia &amp; Hamza, 2015)</w:t>
      </w:r>
      <w:r w:rsidR="00EC6133" w:rsidRPr="00EC6133">
        <w:fldChar w:fldCharType="end"/>
      </w:r>
      <w:r w:rsidR="00EC6133" w:rsidRPr="00EC6133">
        <w:t xml:space="preserve"> and </w:t>
      </w:r>
      <w:r w:rsidR="00EC6133" w:rsidRPr="00EC6133">
        <w:fldChar w:fldCharType="begin"/>
      </w:r>
      <w:r w:rsidR="00895548">
        <w:instrText xml:space="preserve"> ADDIN EN.CITE &lt;EndNote&gt;&lt;Cite&gt;&lt;Author&gt;Alzoubi&lt;/Author&gt;&lt;Year&gt;2017&lt;/Year&gt;&lt;RecNum&gt;13&lt;/RecNum&gt;&lt;DisplayText&gt;(Alzoubi, 2017)&lt;/DisplayText&gt;&lt;record&gt;&lt;rec-number&gt;13&lt;/rec-number&gt;&lt;foreign-keys&gt;&lt;key app="EN" db-id="s5wfp0f2qf99z4e9dvmvrwt192ff2arrfzfv" timestamp="0"&gt;13&lt;/key&gt;&lt;/foreign-keys&gt;&lt;ref-type name="Journal Article"&gt;17&lt;/ref-type&gt;&lt;contributors&gt;&lt;authors&gt;&lt;author&gt;Alzoubi, Tariq &lt;/author&gt;&lt;/authors&gt;&lt;/contributors&gt;&lt;titles&gt;&lt;title&gt;Determinants of liquidity risk in Islamic banks&lt;/title&gt;&lt;secondary-title&gt;Banks and Bank Systems&lt;/secondary-title&gt;&lt;/titles&gt;&lt;pages&gt;142-148&lt;/pages&gt;&lt;number&gt;12,№ 3&lt;/number&gt;&lt;dates&gt;&lt;year&gt;2017&lt;/year&gt;&lt;/dates&gt;&lt;isbn&gt;1816-7403&lt;/isbn&gt;&lt;urls&gt;&lt;/urls&gt;&lt;/record&gt;&lt;/Cite&gt;&lt;/EndNote&gt;</w:instrText>
      </w:r>
      <w:r w:rsidR="00EC6133" w:rsidRPr="00EC6133">
        <w:fldChar w:fldCharType="separate"/>
      </w:r>
      <w:r w:rsidR="00EC6133" w:rsidRPr="00EC6133">
        <w:rPr>
          <w:noProof/>
        </w:rPr>
        <w:t>(Alzoubi, 2017)</w:t>
      </w:r>
      <w:r w:rsidR="00EC6133" w:rsidRPr="00EC6133">
        <w:fldChar w:fldCharType="end"/>
      </w:r>
      <w:r w:rsidR="00EC6133" w:rsidRPr="00EC6133">
        <w:t>.</w:t>
      </w:r>
    </w:p>
    <w:p w14:paraId="11CBEDFF" w14:textId="10C87886" w:rsidR="003303F7" w:rsidRDefault="003303F7" w:rsidP="003303F7">
      <w:r>
        <w:t xml:space="preserve">We used Return on equity as a comprehensive measure of profitability following </w:t>
      </w:r>
      <w:r>
        <w:fldChar w:fldCharType="begin"/>
      </w:r>
      <w:r w:rsidR="008341DC">
        <w:instrText xml:space="preserve"> ADDIN EN.CITE &lt;EndNote&gt;&lt;Cite&gt;&lt;Author&gt;Khan&lt;/Author&gt;&lt;Year&gt;2008&lt;/Year&gt;&lt;RecNum&gt;7&lt;/RecNum&gt;&lt;DisplayText&gt;(Khan et al., 2008)&lt;/DisplayText&gt;&lt;record&gt;&lt;rec-number&gt;7&lt;/rec-number&gt;&lt;foreign-keys&gt;&lt;key app="EN" db-id="z9fpef0w85zaefe9d2ppz5fdr09av05rvpfp" timestamp="1597656569"&gt;7&lt;/key&gt;&lt;/foreign-keys&gt;&lt;ref-type name="Journal Article"&gt;17&lt;/ref-type&gt;&lt;contributors&gt;&lt;authors&gt;&lt;author&gt;Khan, M Mansoor&lt;/author&gt;&lt;author&gt;Bhatti, M Ishaq&lt;/author&gt;&lt;author&gt;Rosly, Saiful Azhar&lt;/author&gt;&lt;author&gt;Zaini, Mohammad Ashadi Mohd&lt;/author&gt;&lt;/authors&gt;&lt;/contributors&gt;&lt;titles&gt;&lt;title&gt;Risk‐return analysis of Islamic banks&amp;apos; investment deposits and shareholders&amp;apos; fund&lt;/title&gt;&lt;secondary-title&gt;Managerial finance&lt;/secondary-title&gt;&lt;/titles&gt;&lt;periodical&gt;&lt;full-title&gt;Managerial Finance&lt;/full-title&gt;&lt;/periodical&gt;&lt;dates&gt;&lt;year&gt;2008&lt;/year&gt;&lt;/dates&gt;&lt;urls&gt;&lt;/urls&gt;&lt;/record&gt;&lt;/Cite&gt;&lt;/EndNote&gt;</w:instrText>
      </w:r>
      <w:r>
        <w:fldChar w:fldCharType="separate"/>
      </w:r>
      <w:r w:rsidR="008341DC">
        <w:rPr>
          <w:noProof/>
        </w:rPr>
        <w:t>(Khan et al., 2008)</w:t>
      </w:r>
      <w:r>
        <w:fldChar w:fldCharType="end"/>
      </w:r>
      <w:r>
        <w:t xml:space="preserve">. </w:t>
      </w:r>
    </w:p>
    <w:p w14:paraId="3B09BFEC" w14:textId="0AE93E3D" w:rsidR="0069783F" w:rsidRPr="00EC025A" w:rsidRDefault="0069783F" w:rsidP="0069783F">
      <w:pPr>
        <w:rPr>
          <w:b/>
          <w:bCs/>
        </w:rPr>
      </w:pPr>
      <w:r w:rsidRPr="00EC025A">
        <w:rPr>
          <w:b/>
          <w:bCs/>
        </w:rPr>
        <w:t>Return on Equity (ROE):</w:t>
      </w:r>
    </w:p>
    <w:p w14:paraId="6300BC8D" w14:textId="0E8683FC" w:rsidR="00135D3B" w:rsidRPr="00135D3B" w:rsidRDefault="00EC025A" w:rsidP="006466E5">
      <w:pPr>
        <w:spacing w:after="0"/>
        <w:rPr>
          <w:color w:val="FF0000"/>
        </w:rPr>
      </w:pPr>
      <w:r w:rsidRPr="0076605D">
        <w:t xml:space="preserve">Several studies have used return on equity a determinant of </w:t>
      </w:r>
      <w:r w:rsidR="0076605D" w:rsidRPr="0076605D">
        <w:t xml:space="preserve">liquidity risk management. </w:t>
      </w:r>
      <w:r w:rsidR="0076605D" w:rsidRPr="0076605D">
        <w:rPr>
          <w:rFonts w:cs="Simplified Arabic"/>
          <w:color w:val="000000" w:themeColor="text1"/>
        </w:rPr>
        <w:fldChar w:fldCharType="begin"/>
      </w:r>
      <w:r w:rsidR="0076605D" w:rsidRPr="0076605D">
        <w:rPr>
          <w:rFonts w:cs="Simplified Arabic"/>
          <w:color w:val="000000" w:themeColor="text1"/>
        </w:rPr>
        <w:instrText xml:space="preserve"> ADDIN EN.CITE &lt;EndNote&gt;&lt;Cite&gt;&lt;Author&gt;Mohamad&lt;/Author&gt;&lt;Year&gt;2013&lt;/Year&gt;&lt;RecNum&gt;10&lt;/RecNum&gt;&lt;DisplayText&gt;(Mohamad et al.,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76605D" w:rsidRPr="0076605D">
        <w:rPr>
          <w:rFonts w:cs="Simplified Arabic"/>
          <w:color w:val="000000" w:themeColor="text1"/>
        </w:rPr>
        <w:fldChar w:fldCharType="separate"/>
      </w:r>
      <w:r w:rsidR="0076605D" w:rsidRPr="0076605D">
        <w:rPr>
          <w:rFonts w:cs="Simplified Arabic"/>
          <w:noProof/>
          <w:color w:val="000000" w:themeColor="text1"/>
        </w:rPr>
        <w:t>(Mohamad et al., 2013)</w:t>
      </w:r>
      <w:r w:rsidR="0076605D" w:rsidRPr="0076605D">
        <w:rPr>
          <w:rFonts w:cs="Simplified Arabic"/>
          <w:color w:val="000000" w:themeColor="text1"/>
        </w:rPr>
        <w:fldChar w:fldCharType="end"/>
      </w:r>
      <w:r w:rsidR="006466E5">
        <w:rPr>
          <w:rFonts w:cs="Simplified Arabic"/>
          <w:color w:val="000000" w:themeColor="text1"/>
        </w:rPr>
        <w:t xml:space="preserve"> and</w:t>
      </w:r>
      <w:r w:rsidR="0076605D" w:rsidRPr="0076605D">
        <w:rPr>
          <w:rFonts w:cs="Simplified Arabic"/>
          <w:color w:val="000000" w:themeColor="text1"/>
        </w:rPr>
        <w:t xml:space="preserve"> </w:t>
      </w:r>
      <w:r w:rsidR="0076605D" w:rsidRPr="0076605D">
        <w:rPr>
          <w:rFonts w:asciiTheme="majorBidi" w:hAnsiTheme="majorBidi" w:cstheme="majorBidi"/>
        </w:rPr>
        <w:fldChar w:fldCharType="begin"/>
      </w:r>
      <w:r w:rsidR="001A5852">
        <w:rPr>
          <w:rFonts w:asciiTheme="majorBidi" w:hAnsiTheme="majorBidi" w:cstheme="majorBidi"/>
        </w:rPr>
        <w:instrText xml:space="preserve"> ADDIN EN.CITE &lt;EndNote&gt;&lt;Cite&gt;&lt;Author&gt;Khan&lt;/Author&gt;&lt;Year&gt;2008&lt;/Year&gt;&lt;RecNum&gt;7&lt;/RecNum&gt;&lt;DisplayText&gt;(Khan et al., 2008)&lt;/DisplayText&gt;&lt;record&gt;&lt;rec-number&gt;7&lt;/rec-number&gt;&lt;foreign-keys&gt;&lt;key app="EN" db-id="z9fpef0w85zaefe9d2ppz5fdr09av05rvpfp" timestamp="1597656569"&gt;7&lt;/key&gt;&lt;/foreign-keys&gt;&lt;ref-type name="Journal Article"&gt;17&lt;/ref-type&gt;&lt;contributors&gt;&lt;authors&gt;&lt;author&gt;Khan, M Mansoor&lt;/author&gt;&lt;author&gt;Bhatti, M Ishaq&lt;/author&gt;&lt;author&gt;Rosly, Saiful Azhar&lt;/author&gt;&lt;author&gt;Zaini, Mohammad Ashadi Mohd&lt;/author&gt;&lt;/authors&gt;&lt;/contributors&gt;&lt;titles&gt;&lt;title&gt;Risk‐return analysis of Islamic banks&amp;apos; investment deposits and shareholders&amp;apos; fund&lt;/title&gt;&lt;secondary-title&gt;Managerial finance&lt;/secondary-title&gt;&lt;/titles&gt;&lt;periodical&gt;&lt;full-title&gt;Managerial Finance&lt;/full-title&gt;&lt;/periodical&gt;&lt;dates&gt;&lt;year&gt;2008&lt;/year&gt;&lt;/dates&gt;&lt;urls&gt;&lt;/urls&gt;&lt;/record&gt;&lt;/Cite&gt;&lt;/EndNote&gt;</w:instrText>
      </w:r>
      <w:r w:rsidR="0076605D" w:rsidRPr="0076605D">
        <w:rPr>
          <w:rFonts w:asciiTheme="majorBidi" w:hAnsiTheme="majorBidi" w:cstheme="majorBidi"/>
        </w:rPr>
        <w:fldChar w:fldCharType="separate"/>
      </w:r>
      <w:r w:rsidR="001A5852">
        <w:rPr>
          <w:rFonts w:asciiTheme="majorBidi" w:hAnsiTheme="majorBidi" w:cstheme="majorBidi"/>
          <w:noProof/>
        </w:rPr>
        <w:t>(Khan et al., 2008)</w:t>
      </w:r>
      <w:r w:rsidR="0076605D" w:rsidRPr="0076605D">
        <w:rPr>
          <w:rFonts w:asciiTheme="majorBidi" w:hAnsiTheme="majorBidi" w:cstheme="majorBidi"/>
        </w:rPr>
        <w:fldChar w:fldCharType="end"/>
      </w:r>
      <w:r w:rsidR="0076605D" w:rsidRPr="0076605D">
        <w:t xml:space="preserve">  find ROE as a differentiating factor where its </w:t>
      </w:r>
      <w:r w:rsidR="006466E5">
        <w:t xml:space="preserve">related </w:t>
      </w:r>
      <w:r w:rsidR="006466E5" w:rsidRPr="0076605D">
        <w:t>positiv</w:t>
      </w:r>
      <w:r w:rsidR="006466E5">
        <w:t>ely</w:t>
      </w:r>
      <w:r w:rsidR="0076605D" w:rsidRPr="0076605D">
        <w:t xml:space="preserve"> and significant</w:t>
      </w:r>
      <w:r w:rsidR="006466E5">
        <w:t>ly</w:t>
      </w:r>
      <w:r w:rsidR="0076605D" w:rsidRPr="0076605D">
        <w:t xml:space="preserve"> for Islamic banks and </w:t>
      </w:r>
      <w:r w:rsidR="006466E5" w:rsidRPr="0076605D">
        <w:t>positiv</w:t>
      </w:r>
      <w:r w:rsidR="006466E5">
        <w:t>ely</w:t>
      </w:r>
      <w:r w:rsidR="0076605D" w:rsidRPr="0076605D">
        <w:t xml:space="preserve"> but insignificant</w:t>
      </w:r>
      <w:r w:rsidR="006466E5">
        <w:t>ly</w:t>
      </w:r>
      <w:r w:rsidR="0076605D" w:rsidRPr="0076605D">
        <w:t xml:space="preserve"> for conventional banks. </w:t>
      </w:r>
      <w:r w:rsidR="006466E5">
        <w:t>As shareholders are looking for the maximum return, they would rather investing is risky assets, which may have high liquidity risk.</w:t>
      </w:r>
    </w:p>
    <w:p w14:paraId="0DEBECC3" w14:textId="77777777" w:rsidR="00135D3B" w:rsidRPr="0076605D" w:rsidRDefault="00135D3B" w:rsidP="00296696">
      <w:pPr>
        <w:spacing w:after="0"/>
        <w:rPr>
          <w:highlight w:val="red"/>
        </w:rPr>
      </w:pPr>
    </w:p>
    <w:p w14:paraId="30839633" w14:textId="77777777" w:rsidR="0069783F" w:rsidRPr="00155B21" w:rsidRDefault="0069783F" w:rsidP="00184F8C">
      <w:pPr>
        <w:spacing w:after="0"/>
        <w:rPr>
          <w:b/>
          <w:bCs/>
        </w:rPr>
      </w:pPr>
      <w:r w:rsidRPr="0076605D">
        <w:rPr>
          <w:b/>
          <w:bCs/>
        </w:rPr>
        <w:t>Bank Size (BS):</w:t>
      </w:r>
      <w:r w:rsidRPr="00155B21">
        <w:rPr>
          <w:b/>
          <w:bCs/>
        </w:rPr>
        <w:t xml:space="preserve"> </w:t>
      </w:r>
    </w:p>
    <w:p w14:paraId="1EE19CE4" w14:textId="4E748420" w:rsidR="00184F8C" w:rsidRPr="00C03EE5" w:rsidRDefault="00CA56F2" w:rsidP="00735761">
      <w:pPr>
        <w:spacing w:after="0"/>
      </w:pPr>
      <w:r w:rsidRPr="00C03EE5">
        <w:t xml:space="preserve">Bank size is </w:t>
      </w:r>
      <w:r w:rsidR="00ED7ED9" w:rsidRPr="00C03EE5">
        <w:t>commonly</w:t>
      </w:r>
      <w:r w:rsidRPr="00C03EE5">
        <w:t xml:space="preserve"> use</w:t>
      </w:r>
      <w:r w:rsidR="00ED7ED9" w:rsidRPr="00C03EE5">
        <w:t>d</w:t>
      </w:r>
      <w:r w:rsidRPr="00C03EE5">
        <w:t xml:space="preserve"> as control variable. </w:t>
      </w:r>
      <w:r w:rsidR="00ED7ED9" w:rsidRPr="00C03EE5">
        <w:t xml:space="preserve">It aims to control for the differences </w:t>
      </w:r>
      <w:r w:rsidR="00296696" w:rsidRPr="00C03EE5">
        <w:t>between the banks’ different sizes</w:t>
      </w:r>
      <w:r w:rsidR="0019412A" w:rsidRPr="00C03EE5">
        <w:t xml:space="preserve">. </w:t>
      </w:r>
      <w:r w:rsidR="00184F8C" w:rsidRPr="00C03EE5">
        <w:t xml:space="preserve">Larger banks can </w:t>
      </w:r>
      <w:r w:rsidR="0019412A" w:rsidRPr="00C03EE5">
        <w:t>mobiliz</w:t>
      </w:r>
      <w:r w:rsidR="00184F8C" w:rsidRPr="00C03EE5">
        <w:t xml:space="preserve">e </w:t>
      </w:r>
      <w:r w:rsidR="0019412A" w:rsidRPr="00C03EE5">
        <w:t xml:space="preserve">deposits from customers </w:t>
      </w:r>
      <w:r w:rsidR="00184F8C" w:rsidRPr="00C03EE5">
        <w:t>easily and therefore</w:t>
      </w:r>
      <w:r w:rsidR="0019412A" w:rsidRPr="00C03EE5">
        <w:t xml:space="preserve"> meet maturing obligations. </w:t>
      </w:r>
      <w:r w:rsidR="00C03EE5">
        <w:t xml:space="preserve">As well, larger </w:t>
      </w:r>
      <w:r w:rsidR="0019412A" w:rsidRPr="00C03EE5">
        <w:t>bank</w:t>
      </w:r>
      <w:r w:rsidR="00C03EE5">
        <w:t xml:space="preserve">s can </w:t>
      </w:r>
      <w:r w:rsidR="0019412A" w:rsidRPr="00C03EE5">
        <w:t>obtain funding from different sources at lower cost.</w:t>
      </w:r>
      <w:r w:rsidR="008712AE">
        <w:t xml:space="preserve"> Therefore, b</w:t>
      </w:r>
      <w:r w:rsidR="008712AE" w:rsidRPr="00C03EE5">
        <w:t>ank size is expected to be negatively related to liquidity risk</w:t>
      </w:r>
      <w:r w:rsidR="008712AE">
        <w:t>.</w:t>
      </w:r>
    </w:p>
    <w:p w14:paraId="78356BA6" w14:textId="157956F2" w:rsidR="0019412A" w:rsidRPr="0019412A" w:rsidRDefault="0019412A" w:rsidP="0019412A">
      <w:pPr>
        <w:spacing w:line="259" w:lineRule="auto"/>
        <w:jc w:val="left"/>
        <w:rPr>
          <w:color w:val="FF0000"/>
        </w:rPr>
      </w:pPr>
    </w:p>
    <w:p w14:paraId="77DF049F" w14:textId="77777777" w:rsidR="00010983" w:rsidRDefault="00010983" w:rsidP="002B430C">
      <w:pPr>
        <w:pStyle w:val="Heading2"/>
      </w:pPr>
      <w:r>
        <w:t>Results and Discussions</w:t>
      </w:r>
    </w:p>
    <w:p w14:paraId="0483E285" w14:textId="01CCA1AF" w:rsidR="00010983" w:rsidRPr="00F241CA" w:rsidRDefault="00010983" w:rsidP="002B430C">
      <w:pPr>
        <w:pStyle w:val="Heading3"/>
      </w:pPr>
      <w:bookmarkStart w:id="12" w:name="_Toc48682025"/>
      <w:r w:rsidRPr="00F241CA">
        <w:t>Exploratory Data Analysis</w:t>
      </w:r>
      <w:bookmarkEnd w:id="12"/>
    </w:p>
    <w:p w14:paraId="5295B499" w14:textId="77777777" w:rsidR="00010983" w:rsidRDefault="00010983" w:rsidP="00735761">
      <w:r w:rsidRPr="00A70204">
        <w:t>The Summary statistics of the study variables</w:t>
      </w:r>
      <w:r>
        <w:t xml:space="preserve"> as well as the correlation matrices of conventional and Islamic Banks are presented below.</w:t>
      </w:r>
    </w:p>
    <w:p w14:paraId="543E38D5" w14:textId="77777777" w:rsidR="00010983" w:rsidRDefault="00010983" w:rsidP="00735761">
      <w:pPr>
        <w:pStyle w:val="Heading4"/>
      </w:pPr>
      <w:bookmarkStart w:id="13" w:name="_Toc48682026"/>
      <w:r w:rsidRPr="00F241CA">
        <w:lastRenderedPageBreak/>
        <w:t>Summary Statistics</w:t>
      </w:r>
      <w:bookmarkEnd w:id="13"/>
      <w:r w:rsidRPr="00F241CA">
        <w:t xml:space="preserve"> </w:t>
      </w:r>
    </w:p>
    <w:p w14:paraId="721728C1" w14:textId="1AC876F9" w:rsidR="00010983" w:rsidRDefault="00010983" w:rsidP="00735761">
      <w:r>
        <w:t xml:space="preserve">Summary statistics of the conventional banks are presented </w:t>
      </w:r>
      <w:r w:rsidRPr="003E21C0">
        <w:t xml:space="preserve">in </w:t>
      </w:r>
      <w:r w:rsidR="00B7654D" w:rsidRPr="00B7654D">
        <w:fldChar w:fldCharType="begin"/>
      </w:r>
      <w:r w:rsidR="00B7654D" w:rsidRPr="00B7654D">
        <w:instrText xml:space="preserve"> REF _Ref48670270 \h </w:instrText>
      </w:r>
      <w:r w:rsidR="00B7654D">
        <w:instrText xml:space="preserve"> \* MERGEFORMAT </w:instrText>
      </w:r>
      <w:r w:rsidR="00B7654D" w:rsidRPr="00B7654D">
        <w:fldChar w:fldCharType="separate"/>
      </w:r>
      <w:r w:rsidR="00B7654D" w:rsidRPr="00B7654D">
        <w:t>Table 3</w:t>
      </w:r>
      <w:r w:rsidR="00B7654D" w:rsidRPr="00B7654D">
        <w:fldChar w:fldCharType="end"/>
      </w:r>
      <w:r w:rsidRPr="003E21C0">
        <w:t>. It is</w:t>
      </w:r>
      <w:r>
        <w:t xml:space="preserve"> evident from the table that the variables are not normal as provided by Jarque-bera test. Most of the variables are positively skewed except of the DA variable.  </w:t>
      </w:r>
    </w:p>
    <w:p w14:paraId="7D836B19" w14:textId="0B6EFB1F" w:rsidR="00010983" w:rsidRDefault="00010983" w:rsidP="00735761">
      <w:r>
        <w:t>Comparison with the summary statistics of the Islamic banks presented i</w:t>
      </w:r>
      <w:r w:rsidRPr="00B7654D">
        <w:t xml:space="preserve">n </w:t>
      </w:r>
      <w:r w:rsidR="00B7654D" w:rsidRPr="00B7654D">
        <w:fldChar w:fldCharType="begin"/>
      </w:r>
      <w:r w:rsidR="00B7654D" w:rsidRPr="00B7654D">
        <w:instrText xml:space="preserve"> REF _Ref49204958 \h </w:instrText>
      </w:r>
      <w:r w:rsidR="00B7654D">
        <w:instrText xml:space="preserve"> \* MERGEFORMAT </w:instrText>
      </w:r>
      <w:r w:rsidR="00B7654D" w:rsidRPr="00B7654D">
        <w:fldChar w:fldCharType="separate"/>
      </w:r>
      <w:r w:rsidR="00B7654D" w:rsidRPr="00B7654D">
        <w:t>Table 4</w:t>
      </w:r>
      <w:r w:rsidR="00B7654D" w:rsidRPr="00B7654D">
        <w:fldChar w:fldCharType="end"/>
      </w:r>
      <w:r w:rsidR="00B7654D">
        <w:rPr>
          <w:rFonts w:hint="cs"/>
          <w:rtl/>
        </w:rPr>
        <w:t>ؤ</w:t>
      </w:r>
      <w:r>
        <w:t xml:space="preserve">reveals that average liquidity risk of Islamic banks is larger than conventional banks </w:t>
      </w:r>
    </w:p>
    <w:p w14:paraId="69C00F56" w14:textId="77777777" w:rsidR="00256074" w:rsidRDefault="00256074" w:rsidP="00735761">
      <w:pPr>
        <w:spacing w:line="240" w:lineRule="auto"/>
      </w:pPr>
    </w:p>
    <w:p w14:paraId="35B08901" w14:textId="368A8433" w:rsidR="00010983" w:rsidRPr="00101B7B" w:rsidRDefault="00010983" w:rsidP="00010983">
      <w:pPr>
        <w:pStyle w:val="Caption"/>
        <w:spacing w:after="0"/>
        <w:rPr>
          <w:b/>
          <w:bCs/>
          <w:i w:val="0"/>
          <w:iCs w:val="0"/>
          <w:color w:val="auto"/>
          <w:sz w:val="24"/>
          <w:szCs w:val="24"/>
        </w:rPr>
      </w:pPr>
      <w:bookmarkStart w:id="14" w:name="_Ref48670270"/>
      <w:bookmarkStart w:id="15" w:name="_Toc48684280"/>
      <w:r w:rsidRPr="00101B7B">
        <w:rPr>
          <w:b/>
          <w:bCs/>
          <w:i w:val="0"/>
          <w:iCs w:val="0"/>
          <w:color w:val="auto"/>
          <w:sz w:val="24"/>
          <w:szCs w:val="24"/>
        </w:rPr>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3</w:t>
      </w:r>
      <w:r w:rsidR="009E67C3">
        <w:rPr>
          <w:b/>
          <w:bCs/>
          <w:i w:val="0"/>
          <w:iCs w:val="0"/>
          <w:color w:val="auto"/>
          <w:sz w:val="24"/>
          <w:szCs w:val="24"/>
        </w:rPr>
        <w:fldChar w:fldCharType="end"/>
      </w:r>
      <w:bookmarkEnd w:id="14"/>
      <w:r w:rsidRPr="00101B7B">
        <w:rPr>
          <w:b/>
          <w:bCs/>
          <w:i w:val="0"/>
          <w:iCs w:val="0"/>
          <w:color w:val="auto"/>
          <w:sz w:val="24"/>
          <w:szCs w:val="24"/>
        </w:rPr>
        <w:t>: Summary Statistics- Conventional Banks</w:t>
      </w:r>
      <w:bookmarkEnd w:id="15"/>
    </w:p>
    <w:tbl>
      <w:tblPr>
        <w:tblW w:w="0" w:type="auto"/>
        <w:tblLayout w:type="fixed"/>
        <w:tblLook w:val="0000" w:firstRow="0" w:lastRow="0" w:firstColumn="0" w:lastColumn="0" w:noHBand="0" w:noVBand="0"/>
      </w:tblPr>
      <w:tblGrid>
        <w:gridCol w:w="1308"/>
        <w:gridCol w:w="800"/>
        <w:gridCol w:w="1000"/>
        <w:gridCol w:w="1000"/>
        <w:gridCol w:w="1000"/>
        <w:gridCol w:w="1000"/>
        <w:gridCol w:w="1000"/>
        <w:gridCol w:w="1000"/>
        <w:gridCol w:w="1000"/>
        <w:gridCol w:w="1000"/>
      </w:tblGrid>
      <w:tr w:rsidR="00010983" w14:paraId="626AF4B5" w14:textId="77777777" w:rsidTr="00FD26B8">
        <w:tc>
          <w:tcPr>
            <w:tcW w:w="1308" w:type="dxa"/>
            <w:tcBorders>
              <w:top w:val="single" w:sz="4" w:space="0" w:color="auto"/>
              <w:left w:val="nil"/>
              <w:bottom w:val="single" w:sz="10" w:space="0" w:color="auto"/>
              <w:right w:val="nil"/>
            </w:tcBorders>
          </w:tcPr>
          <w:p w14:paraId="5084CCFF"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Variables</w:t>
            </w:r>
          </w:p>
        </w:tc>
        <w:tc>
          <w:tcPr>
            <w:tcW w:w="800" w:type="dxa"/>
            <w:tcBorders>
              <w:top w:val="single" w:sz="4" w:space="0" w:color="auto"/>
              <w:left w:val="nil"/>
              <w:bottom w:val="single" w:sz="10" w:space="0" w:color="auto"/>
              <w:right w:val="nil"/>
            </w:tcBorders>
          </w:tcPr>
          <w:p w14:paraId="11B9201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Obs</w:t>
            </w:r>
          </w:p>
        </w:tc>
        <w:tc>
          <w:tcPr>
            <w:tcW w:w="1000" w:type="dxa"/>
            <w:tcBorders>
              <w:top w:val="single" w:sz="4" w:space="0" w:color="auto"/>
              <w:left w:val="nil"/>
              <w:bottom w:val="single" w:sz="10" w:space="0" w:color="auto"/>
              <w:right w:val="nil"/>
            </w:tcBorders>
          </w:tcPr>
          <w:p w14:paraId="0611CB5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Mean</w:t>
            </w:r>
          </w:p>
        </w:tc>
        <w:tc>
          <w:tcPr>
            <w:tcW w:w="1000" w:type="dxa"/>
            <w:tcBorders>
              <w:top w:val="single" w:sz="4" w:space="0" w:color="auto"/>
              <w:left w:val="nil"/>
              <w:bottom w:val="single" w:sz="10" w:space="0" w:color="auto"/>
              <w:right w:val="nil"/>
            </w:tcBorders>
          </w:tcPr>
          <w:p w14:paraId="73B24AB3"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Std. Dev.</w:t>
            </w:r>
          </w:p>
        </w:tc>
        <w:tc>
          <w:tcPr>
            <w:tcW w:w="1000" w:type="dxa"/>
            <w:tcBorders>
              <w:top w:val="single" w:sz="4" w:space="0" w:color="auto"/>
              <w:left w:val="nil"/>
              <w:bottom w:val="single" w:sz="10" w:space="0" w:color="auto"/>
              <w:right w:val="nil"/>
            </w:tcBorders>
          </w:tcPr>
          <w:p w14:paraId="19E8B887"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Min</w:t>
            </w:r>
          </w:p>
        </w:tc>
        <w:tc>
          <w:tcPr>
            <w:tcW w:w="1000" w:type="dxa"/>
            <w:tcBorders>
              <w:top w:val="single" w:sz="4" w:space="0" w:color="auto"/>
              <w:left w:val="nil"/>
              <w:bottom w:val="single" w:sz="10" w:space="0" w:color="auto"/>
              <w:right w:val="nil"/>
            </w:tcBorders>
          </w:tcPr>
          <w:p w14:paraId="0FFBE47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Max</w:t>
            </w:r>
          </w:p>
        </w:tc>
        <w:tc>
          <w:tcPr>
            <w:tcW w:w="1000" w:type="dxa"/>
            <w:tcBorders>
              <w:top w:val="single" w:sz="4" w:space="0" w:color="auto"/>
              <w:left w:val="nil"/>
              <w:bottom w:val="single" w:sz="10" w:space="0" w:color="auto"/>
              <w:right w:val="nil"/>
            </w:tcBorders>
          </w:tcPr>
          <w:p w14:paraId="4D797A4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p1</w:t>
            </w:r>
          </w:p>
        </w:tc>
        <w:tc>
          <w:tcPr>
            <w:tcW w:w="1000" w:type="dxa"/>
            <w:tcBorders>
              <w:top w:val="single" w:sz="4" w:space="0" w:color="auto"/>
              <w:left w:val="nil"/>
              <w:bottom w:val="single" w:sz="10" w:space="0" w:color="auto"/>
              <w:right w:val="nil"/>
            </w:tcBorders>
          </w:tcPr>
          <w:p w14:paraId="4854109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p99</w:t>
            </w:r>
          </w:p>
        </w:tc>
        <w:tc>
          <w:tcPr>
            <w:tcW w:w="1000" w:type="dxa"/>
            <w:tcBorders>
              <w:top w:val="single" w:sz="4" w:space="0" w:color="auto"/>
              <w:left w:val="nil"/>
              <w:bottom w:val="single" w:sz="10" w:space="0" w:color="auto"/>
              <w:right w:val="nil"/>
            </w:tcBorders>
          </w:tcPr>
          <w:p w14:paraId="5C0C554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Skew.</w:t>
            </w:r>
          </w:p>
        </w:tc>
        <w:tc>
          <w:tcPr>
            <w:tcW w:w="1000" w:type="dxa"/>
            <w:tcBorders>
              <w:top w:val="single" w:sz="4" w:space="0" w:color="auto"/>
              <w:left w:val="nil"/>
              <w:bottom w:val="single" w:sz="10" w:space="0" w:color="auto"/>
              <w:right w:val="nil"/>
            </w:tcBorders>
          </w:tcPr>
          <w:p w14:paraId="603167E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Kurt.</w:t>
            </w:r>
          </w:p>
        </w:tc>
      </w:tr>
      <w:tr w:rsidR="00010983" w14:paraId="79EE766D" w14:textId="77777777" w:rsidTr="00FD26B8">
        <w:tc>
          <w:tcPr>
            <w:tcW w:w="1308" w:type="dxa"/>
            <w:tcBorders>
              <w:top w:val="nil"/>
              <w:left w:val="nil"/>
              <w:bottom w:val="nil"/>
              <w:right w:val="nil"/>
            </w:tcBorders>
          </w:tcPr>
          <w:p w14:paraId="3C3AB904"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LR</w:t>
            </w:r>
          </w:p>
        </w:tc>
        <w:tc>
          <w:tcPr>
            <w:tcW w:w="800" w:type="dxa"/>
            <w:tcBorders>
              <w:top w:val="nil"/>
              <w:left w:val="nil"/>
              <w:bottom w:val="nil"/>
              <w:right w:val="nil"/>
            </w:tcBorders>
          </w:tcPr>
          <w:p w14:paraId="33D8B28F"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119</w:t>
            </w:r>
          </w:p>
        </w:tc>
        <w:tc>
          <w:tcPr>
            <w:tcW w:w="1000" w:type="dxa"/>
            <w:tcBorders>
              <w:top w:val="nil"/>
              <w:left w:val="nil"/>
              <w:bottom w:val="nil"/>
              <w:right w:val="nil"/>
            </w:tcBorders>
          </w:tcPr>
          <w:p w14:paraId="1B46E53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1.469</w:t>
            </w:r>
          </w:p>
        </w:tc>
        <w:tc>
          <w:tcPr>
            <w:tcW w:w="1000" w:type="dxa"/>
            <w:tcBorders>
              <w:top w:val="nil"/>
              <w:left w:val="nil"/>
              <w:bottom w:val="nil"/>
              <w:right w:val="nil"/>
            </w:tcBorders>
          </w:tcPr>
          <w:p w14:paraId="09D3B9C9"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.92</w:t>
            </w:r>
          </w:p>
        </w:tc>
        <w:tc>
          <w:tcPr>
            <w:tcW w:w="1000" w:type="dxa"/>
            <w:tcBorders>
              <w:top w:val="nil"/>
              <w:left w:val="nil"/>
              <w:bottom w:val="nil"/>
              <w:right w:val="nil"/>
            </w:tcBorders>
          </w:tcPr>
          <w:p w14:paraId="1A8B08D9"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.348</w:t>
            </w:r>
          </w:p>
        </w:tc>
        <w:tc>
          <w:tcPr>
            <w:tcW w:w="1000" w:type="dxa"/>
            <w:tcBorders>
              <w:top w:val="nil"/>
              <w:left w:val="nil"/>
              <w:bottom w:val="nil"/>
              <w:right w:val="nil"/>
            </w:tcBorders>
          </w:tcPr>
          <w:p w14:paraId="62DF227B"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9.8</w:t>
            </w:r>
          </w:p>
        </w:tc>
        <w:tc>
          <w:tcPr>
            <w:tcW w:w="1000" w:type="dxa"/>
            <w:tcBorders>
              <w:top w:val="nil"/>
              <w:left w:val="nil"/>
              <w:bottom w:val="nil"/>
              <w:right w:val="nil"/>
            </w:tcBorders>
          </w:tcPr>
          <w:p w14:paraId="253AA49F"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.506</w:t>
            </w:r>
          </w:p>
        </w:tc>
        <w:tc>
          <w:tcPr>
            <w:tcW w:w="1000" w:type="dxa"/>
            <w:tcBorders>
              <w:top w:val="nil"/>
              <w:left w:val="nil"/>
              <w:bottom w:val="nil"/>
              <w:right w:val="nil"/>
            </w:tcBorders>
          </w:tcPr>
          <w:p w14:paraId="55CA3CBB"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2.82</w:t>
            </w:r>
          </w:p>
        </w:tc>
        <w:tc>
          <w:tcPr>
            <w:tcW w:w="1000" w:type="dxa"/>
            <w:tcBorders>
              <w:top w:val="nil"/>
              <w:left w:val="nil"/>
              <w:bottom w:val="nil"/>
              <w:right w:val="nil"/>
            </w:tcBorders>
          </w:tcPr>
          <w:p w14:paraId="4A88AB0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6.318</w:t>
            </w:r>
          </w:p>
        </w:tc>
        <w:tc>
          <w:tcPr>
            <w:tcW w:w="1000" w:type="dxa"/>
            <w:tcBorders>
              <w:top w:val="nil"/>
              <w:left w:val="nil"/>
              <w:bottom w:val="nil"/>
              <w:right w:val="nil"/>
            </w:tcBorders>
          </w:tcPr>
          <w:p w14:paraId="7815DDE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57.637</w:t>
            </w:r>
          </w:p>
        </w:tc>
      </w:tr>
      <w:tr w:rsidR="00010983" w14:paraId="2E9F0038" w14:textId="77777777" w:rsidTr="00FD26B8">
        <w:tc>
          <w:tcPr>
            <w:tcW w:w="1308" w:type="dxa"/>
            <w:tcBorders>
              <w:top w:val="nil"/>
              <w:left w:val="nil"/>
              <w:bottom w:val="nil"/>
              <w:right w:val="nil"/>
            </w:tcBorders>
          </w:tcPr>
          <w:p w14:paraId="4C422484"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DA</w:t>
            </w:r>
          </w:p>
        </w:tc>
        <w:tc>
          <w:tcPr>
            <w:tcW w:w="800" w:type="dxa"/>
            <w:tcBorders>
              <w:top w:val="nil"/>
              <w:left w:val="nil"/>
              <w:bottom w:val="nil"/>
              <w:right w:val="nil"/>
            </w:tcBorders>
          </w:tcPr>
          <w:p w14:paraId="207FAB9B"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119</w:t>
            </w:r>
          </w:p>
        </w:tc>
        <w:tc>
          <w:tcPr>
            <w:tcW w:w="1000" w:type="dxa"/>
            <w:tcBorders>
              <w:top w:val="nil"/>
              <w:left w:val="nil"/>
              <w:bottom w:val="nil"/>
              <w:right w:val="nil"/>
            </w:tcBorders>
          </w:tcPr>
          <w:p w14:paraId="5CE7100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.755</w:t>
            </w:r>
          </w:p>
        </w:tc>
        <w:tc>
          <w:tcPr>
            <w:tcW w:w="1000" w:type="dxa"/>
            <w:tcBorders>
              <w:top w:val="nil"/>
              <w:left w:val="nil"/>
              <w:bottom w:val="nil"/>
              <w:right w:val="nil"/>
            </w:tcBorders>
          </w:tcPr>
          <w:p w14:paraId="275DE72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.138</w:t>
            </w:r>
          </w:p>
        </w:tc>
        <w:tc>
          <w:tcPr>
            <w:tcW w:w="1000" w:type="dxa"/>
            <w:tcBorders>
              <w:top w:val="nil"/>
              <w:left w:val="nil"/>
              <w:bottom w:val="nil"/>
              <w:right w:val="nil"/>
            </w:tcBorders>
          </w:tcPr>
          <w:p w14:paraId="5878C4F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.118</w:t>
            </w:r>
          </w:p>
        </w:tc>
        <w:tc>
          <w:tcPr>
            <w:tcW w:w="1000" w:type="dxa"/>
            <w:tcBorders>
              <w:top w:val="nil"/>
              <w:left w:val="nil"/>
              <w:bottom w:val="nil"/>
              <w:right w:val="nil"/>
            </w:tcBorders>
          </w:tcPr>
          <w:p w14:paraId="2C29FC3F"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.901</w:t>
            </w:r>
          </w:p>
        </w:tc>
        <w:tc>
          <w:tcPr>
            <w:tcW w:w="1000" w:type="dxa"/>
            <w:tcBorders>
              <w:top w:val="nil"/>
              <w:left w:val="nil"/>
              <w:bottom w:val="nil"/>
              <w:right w:val="nil"/>
            </w:tcBorders>
          </w:tcPr>
          <w:p w14:paraId="61BECAA9"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.243</w:t>
            </w:r>
          </w:p>
        </w:tc>
        <w:tc>
          <w:tcPr>
            <w:tcW w:w="1000" w:type="dxa"/>
            <w:tcBorders>
              <w:top w:val="nil"/>
              <w:left w:val="nil"/>
              <w:bottom w:val="nil"/>
              <w:right w:val="nil"/>
            </w:tcBorders>
          </w:tcPr>
          <w:p w14:paraId="6F71A41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.897</w:t>
            </w:r>
          </w:p>
        </w:tc>
        <w:tc>
          <w:tcPr>
            <w:tcW w:w="1000" w:type="dxa"/>
            <w:tcBorders>
              <w:top w:val="nil"/>
              <w:left w:val="nil"/>
              <w:bottom w:val="nil"/>
              <w:right w:val="nil"/>
            </w:tcBorders>
          </w:tcPr>
          <w:p w14:paraId="75AFDE83"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-1.652</w:t>
            </w:r>
          </w:p>
        </w:tc>
        <w:tc>
          <w:tcPr>
            <w:tcW w:w="1000" w:type="dxa"/>
            <w:tcBorders>
              <w:top w:val="nil"/>
              <w:left w:val="nil"/>
              <w:bottom w:val="nil"/>
              <w:right w:val="nil"/>
            </w:tcBorders>
          </w:tcPr>
          <w:p w14:paraId="76F84C9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6.639</w:t>
            </w:r>
          </w:p>
        </w:tc>
      </w:tr>
      <w:tr w:rsidR="00010983" w14:paraId="210E3EE8" w14:textId="77777777" w:rsidTr="00FD26B8">
        <w:tc>
          <w:tcPr>
            <w:tcW w:w="1308" w:type="dxa"/>
            <w:tcBorders>
              <w:top w:val="nil"/>
              <w:left w:val="nil"/>
              <w:bottom w:val="nil"/>
              <w:right w:val="nil"/>
            </w:tcBorders>
          </w:tcPr>
          <w:p w14:paraId="24D82336"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CR</w:t>
            </w:r>
          </w:p>
        </w:tc>
        <w:tc>
          <w:tcPr>
            <w:tcW w:w="800" w:type="dxa"/>
            <w:tcBorders>
              <w:top w:val="nil"/>
              <w:left w:val="nil"/>
              <w:bottom w:val="nil"/>
              <w:right w:val="nil"/>
            </w:tcBorders>
          </w:tcPr>
          <w:p w14:paraId="12CB914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119</w:t>
            </w:r>
          </w:p>
        </w:tc>
        <w:tc>
          <w:tcPr>
            <w:tcW w:w="1000" w:type="dxa"/>
            <w:tcBorders>
              <w:top w:val="nil"/>
              <w:left w:val="nil"/>
              <w:bottom w:val="nil"/>
              <w:right w:val="nil"/>
            </w:tcBorders>
          </w:tcPr>
          <w:p w14:paraId="26922A2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.221</w:t>
            </w:r>
          </w:p>
        </w:tc>
        <w:tc>
          <w:tcPr>
            <w:tcW w:w="1000" w:type="dxa"/>
            <w:tcBorders>
              <w:top w:val="nil"/>
              <w:left w:val="nil"/>
              <w:bottom w:val="nil"/>
              <w:right w:val="nil"/>
            </w:tcBorders>
          </w:tcPr>
          <w:p w14:paraId="5067618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.166</w:t>
            </w:r>
          </w:p>
        </w:tc>
        <w:tc>
          <w:tcPr>
            <w:tcW w:w="1000" w:type="dxa"/>
            <w:tcBorders>
              <w:top w:val="nil"/>
              <w:left w:val="nil"/>
              <w:bottom w:val="nil"/>
              <w:right w:val="nil"/>
            </w:tcBorders>
          </w:tcPr>
          <w:p w14:paraId="29151F3B"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.016</w:t>
            </w:r>
          </w:p>
        </w:tc>
        <w:tc>
          <w:tcPr>
            <w:tcW w:w="1000" w:type="dxa"/>
            <w:tcBorders>
              <w:top w:val="nil"/>
              <w:left w:val="nil"/>
              <w:bottom w:val="nil"/>
              <w:right w:val="nil"/>
            </w:tcBorders>
          </w:tcPr>
          <w:p w14:paraId="2A5BF433"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.924</w:t>
            </w:r>
          </w:p>
        </w:tc>
        <w:tc>
          <w:tcPr>
            <w:tcW w:w="1000" w:type="dxa"/>
            <w:tcBorders>
              <w:top w:val="nil"/>
              <w:left w:val="nil"/>
              <w:bottom w:val="nil"/>
              <w:right w:val="nil"/>
            </w:tcBorders>
          </w:tcPr>
          <w:p w14:paraId="24B4133C"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.028</w:t>
            </w:r>
          </w:p>
        </w:tc>
        <w:tc>
          <w:tcPr>
            <w:tcW w:w="1000" w:type="dxa"/>
            <w:tcBorders>
              <w:top w:val="nil"/>
              <w:left w:val="nil"/>
              <w:bottom w:val="nil"/>
              <w:right w:val="nil"/>
            </w:tcBorders>
          </w:tcPr>
          <w:p w14:paraId="2B529BF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.841</w:t>
            </w:r>
          </w:p>
        </w:tc>
        <w:tc>
          <w:tcPr>
            <w:tcW w:w="1000" w:type="dxa"/>
            <w:tcBorders>
              <w:top w:val="nil"/>
              <w:left w:val="nil"/>
              <w:bottom w:val="nil"/>
              <w:right w:val="nil"/>
            </w:tcBorders>
          </w:tcPr>
          <w:p w14:paraId="1B3560C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2.847</w:t>
            </w:r>
          </w:p>
        </w:tc>
        <w:tc>
          <w:tcPr>
            <w:tcW w:w="1000" w:type="dxa"/>
            <w:tcBorders>
              <w:top w:val="nil"/>
              <w:left w:val="nil"/>
              <w:bottom w:val="nil"/>
              <w:right w:val="nil"/>
            </w:tcBorders>
          </w:tcPr>
          <w:p w14:paraId="69CE0E7A"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10.391</w:t>
            </w:r>
          </w:p>
        </w:tc>
      </w:tr>
      <w:tr w:rsidR="00010983" w14:paraId="74AD42FB" w14:textId="77777777" w:rsidTr="00FD26B8">
        <w:tc>
          <w:tcPr>
            <w:tcW w:w="1308" w:type="dxa"/>
            <w:tcBorders>
              <w:top w:val="nil"/>
              <w:left w:val="nil"/>
              <w:bottom w:val="nil"/>
              <w:right w:val="nil"/>
            </w:tcBorders>
          </w:tcPr>
          <w:p w14:paraId="3A9002ED"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ROE</w:t>
            </w:r>
          </w:p>
        </w:tc>
        <w:tc>
          <w:tcPr>
            <w:tcW w:w="800" w:type="dxa"/>
            <w:tcBorders>
              <w:top w:val="nil"/>
              <w:left w:val="nil"/>
              <w:bottom w:val="nil"/>
              <w:right w:val="nil"/>
            </w:tcBorders>
          </w:tcPr>
          <w:p w14:paraId="41CD243A"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119</w:t>
            </w:r>
          </w:p>
        </w:tc>
        <w:tc>
          <w:tcPr>
            <w:tcW w:w="1000" w:type="dxa"/>
            <w:tcBorders>
              <w:top w:val="nil"/>
              <w:left w:val="nil"/>
              <w:bottom w:val="nil"/>
              <w:right w:val="nil"/>
            </w:tcBorders>
          </w:tcPr>
          <w:p w14:paraId="75F38EA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.125</w:t>
            </w:r>
          </w:p>
        </w:tc>
        <w:tc>
          <w:tcPr>
            <w:tcW w:w="1000" w:type="dxa"/>
            <w:tcBorders>
              <w:top w:val="nil"/>
              <w:left w:val="nil"/>
              <w:bottom w:val="nil"/>
              <w:right w:val="nil"/>
            </w:tcBorders>
          </w:tcPr>
          <w:p w14:paraId="1BB45E6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.187</w:t>
            </w:r>
          </w:p>
        </w:tc>
        <w:tc>
          <w:tcPr>
            <w:tcW w:w="1000" w:type="dxa"/>
            <w:tcBorders>
              <w:top w:val="nil"/>
              <w:left w:val="nil"/>
              <w:bottom w:val="nil"/>
              <w:right w:val="nil"/>
            </w:tcBorders>
          </w:tcPr>
          <w:p w14:paraId="7195949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-.103</w:t>
            </w:r>
          </w:p>
        </w:tc>
        <w:tc>
          <w:tcPr>
            <w:tcW w:w="1000" w:type="dxa"/>
            <w:tcBorders>
              <w:top w:val="nil"/>
              <w:left w:val="nil"/>
              <w:bottom w:val="nil"/>
              <w:right w:val="nil"/>
            </w:tcBorders>
          </w:tcPr>
          <w:p w14:paraId="1273420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1.099</w:t>
            </w:r>
          </w:p>
        </w:tc>
        <w:tc>
          <w:tcPr>
            <w:tcW w:w="1000" w:type="dxa"/>
            <w:tcBorders>
              <w:top w:val="nil"/>
              <w:left w:val="nil"/>
              <w:bottom w:val="nil"/>
              <w:right w:val="nil"/>
            </w:tcBorders>
          </w:tcPr>
          <w:p w14:paraId="6AB8A4B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-.093</w:t>
            </w:r>
          </w:p>
        </w:tc>
        <w:tc>
          <w:tcPr>
            <w:tcW w:w="1000" w:type="dxa"/>
            <w:tcBorders>
              <w:top w:val="nil"/>
              <w:left w:val="nil"/>
              <w:bottom w:val="nil"/>
              <w:right w:val="nil"/>
            </w:tcBorders>
          </w:tcPr>
          <w:p w14:paraId="4894C837"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.862</w:t>
            </w:r>
          </w:p>
        </w:tc>
        <w:tc>
          <w:tcPr>
            <w:tcW w:w="1000" w:type="dxa"/>
            <w:tcBorders>
              <w:top w:val="nil"/>
              <w:left w:val="nil"/>
              <w:bottom w:val="nil"/>
              <w:right w:val="nil"/>
            </w:tcBorders>
          </w:tcPr>
          <w:p w14:paraId="0ED1D2DB"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3.09</w:t>
            </w:r>
          </w:p>
        </w:tc>
        <w:tc>
          <w:tcPr>
            <w:tcW w:w="1000" w:type="dxa"/>
            <w:tcBorders>
              <w:top w:val="nil"/>
              <w:left w:val="nil"/>
              <w:bottom w:val="nil"/>
              <w:right w:val="nil"/>
            </w:tcBorders>
          </w:tcPr>
          <w:p w14:paraId="2292CC1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13.158</w:t>
            </w:r>
          </w:p>
        </w:tc>
      </w:tr>
      <w:tr w:rsidR="00010983" w14:paraId="35A201D8" w14:textId="77777777" w:rsidTr="00FD26B8">
        <w:tc>
          <w:tcPr>
            <w:tcW w:w="1308" w:type="dxa"/>
            <w:tcBorders>
              <w:top w:val="nil"/>
              <w:left w:val="nil"/>
              <w:bottom w:val="nil"/>
              <w:right w:val="nil"/>
            </w:tcBorders>
          </w:tcPr>
          <w:p w14:paraId="35EF9E35"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BS</w:t>
            </w:r>
          </w:p>
        </w:tc>
        <w:tc>
          <w:tcPr>
            <w:tcW w:w="800" w:type="dxa"/>
            <w:tcBorders>
              <w:top w:val="nil"/>
              <w:left w:val="nil"/>
              <w:bottom w:val="nil"/>
              <w:right w:val="nil"/>
            </w:tcBorders>
          </w:tcPr>
          <w:p w14:paraId="44951705"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119</w:t>
            </w:r>
          </w:p>
        </w:tc>
        <w:tc>
          <w:tcPr>
            <w:tcW w:w="1000" w:type="dxa"/>
            <w:tcBorders>
              <w:top w:val="nil"/>
              <w:left w:val="nil"/>
              <w:bottom w:val="nil"/>
              <w:right w:val="nil"/>
            </w:tcBorders>
          </w:tcPr>
          <w:p w14:paraId="26A0E46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20.014</w:t>
            </w:r>
          </w:p>
        </w:tc>
        <w:tc>
          <w:tcPr>
            <w:tcW w:w="1000" w:type="dxa"/>
            <w:tcBorders>
              <w:top w:val="nil"/>
              <w:left w:val="nil"/>
              <w:bottom w:val="nil"/>
              <w:right w:val="nil"/>
            </w:tcBorders>
          </w:tcPr>
          <w:p w14:paraId="0566DEC5"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1.041</w:t>
            </w:r>
          </w:p>
        </w:tc>
        <w:tc>
          <w:tcPr>
            <w:tcW w:w="1000" w:type="dxa"/>
            <w:tcBorders>
              <w:top w:val="nil"/>
              <w:left w:val="nil"/>
              <w:bottom w:val="nil"/>
              <w:right w:val="nil"/>
            </w:tcBorders>
          </w:tcPr>
          <w:p w14:paraId="567CEA8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18.315</w:t>
            </w:r>
          </w:p>
        </w:tc>
        <w:tc>
          <w:tcPr>
            <w:tcW w:w="1000" w:type="dxa"/>
            <w:tcBorders>
              <w:top w:val="nil"/>
              <w:left w:val="nil"/>
              <w:bottom w:val="nil"/>
              <w:right w:val="nil"/>
            </w:tcBorders>
          </w:tcPr>
          <w:p w14:paraId="113D46E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22.309</w:t>
            </w:r>
          </w:p>
        </w:tc>
        <w:tc>
          <w:tcPr>
            <w:tcW w:w="1000" w:type="dxa"/>
            <w:tcBorders>
              <w:top w:val="nil"/>
              <w:left w:val="nil"/>
              <w:bottom w:val="nil"/>
              <w:right w:val="nil"/>
            </w:tcBorders>
          </w:tcPr>
          <w:p w14:paraId="76D514C7"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18.392</w:t>
            </w:r>
          </w:p>
        </w:tc>
        <w:tc>
          <w:tcPr>
            <w:tcW w:w="1000" w:type="dxa"/>
            <w:tcBorders>
              <w:top w:val="nil"/>
              <w:left w:val="nil"/>
              <w:bottom w:val="nil"/>
              <w:right w:val="nil"/>
            </w:tcBorders>
          </w:tcPr>
          <w:p w14:paraId="678B1DD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22.262</w:t>
            </w:r>
          </w:p>
        </w:tc>
        <w:tc>
          <w:tcPr>
            <w:tcW w:w="1000" w:type="dxa"/>
            <w:tcBorders>
              <w:top w:val="nil"/>
              <w:left w:val="nil"/>
              <w:bottom w:val="nil"/>
              <w:right w:val="nil"/>
            </w:tcBorders>
          </w:tcPr>
          <w:p w14:paraId="5F048B35"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.426</w:t>
            </w:r>
          </w:p>
        </w:tc>
        <w:tc>
          <w:tcPr>
            <w:tcW w:w="1000" w:type="dxa"/>
            <w:tcBorders>
              <w:top w:val="nil"/>
              <w:left w:val="nil"/>
              <w:bottom w:val="nil"/>
              <w:right w:val="nil"/>
            </w:tcBorders>
          </w:tcPr>
          <w:p w14:paraId="4C5D62B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2.342</w:t>
            </w:r>
          </w:p>
        </w:tc>
      </w:tr>
      <w:tr w:rsidR="00010983" w14:paraId="77A99720" w14:textId="77777777" w:rsidTr="00FD26B8">
        <w:tc>
          <w:tcPr>
            <w:tcW w:w="1308" w:type="dxa"/>
            <w:tcBorders>
              <w:top w:val="nil"/>
              <w:left w:val="nil"/>
              <w:bottom w:val="nil"/>
              <w:right w:val="nil"/>
            </w:tcBorders>
          </w:tcPr>
          <w:p w14:paraId="232D87BF"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CAR</w:t>
            </w:r>
          </w:p>
        </w:tc>
        <w:tc>
          <w:tcPr>
            <w:tcW w:w="800" w:type="dxa"/>
            <w:tcBorders>
              <w:top w:val="nil"/>
              <w:left w:val="nil"/>
              <w:bottom w:val="nil"/>
              <w:right w:val="nil"/>
            </w:tcBorders>
          </w:tcPr>
          <w:p w14:paraId="24BD80C8"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119</w:t>
            </w:r>
          </w:p>
        </w:tc>
        <w:tc>
          <w:tcPr>
            <w:tcW w:w="1000" w:type="dxa"/>
            <w:tcBorders>
              <w:top w:val="nil"/>
              <w:left w:val="nil"/>
              <w:bottom w:val="nil"/>
              <w:right w:val="nil"/>
            </w:tcBorders>
          </w:tcPr>
          <w:p w14:paraId="15023CB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.393</w:t>
            </w:r>
          </w:p>
        </w:tc>
        <w:tc>
          <w:tcPr>
            <w:tcW w:w="1000" w:type="dxa"/>
            <w:tcBorders>
              <w:top w:val="nil"/>
              <w:left w:val="nil"/>
              <w:bottom w:val="nil"/>
              <w:right w:val="nil"/>
            </w:tcBorders>
          </w:tcPr>
          <w:p w14:paraId="11DF297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.399</w:t>
            </w:r>
          </w:p>
        </w:tc>
        <w:tc>
          <w:tcPr>
            <w:tcW w:w="1000" w:type="dxa"/>
            <w:tcBorders>
              <w:top w:val="nil"/>
              <w:left w:val="nil"/>
              <w:bottom w:val="nil"/>
              <w:right w:val="nil"/>
            </w:tcBorders>
          </w:tcPr>
          <w:p w14:paraId="3945B768"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.104</w:t>
            </w:r>
          </w:p>
        </w:tc>
        <w:tc>
          <w:tcPr>
            <w:tcW w:w="1000" w:type="dxa"/>
            <w:tcBorders>
              <w:top w:val="nil"/>
              <w:left w:val="nil"/>
              <w:bottom w:val="nil"/>
              <w:right w:val="nil"/>
            </w:tcBorders>
          </w:tcPr>
          <w:p w14:paraId="4299E513"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2.147</w:t>
            </w:r>
          </w:p>
        </w:tc>
        <w:tc>
          <w:tcPr>
            <w:tcW w:w="1000" w:type="dxa"/>
            <w:tcBorders>
              <w:top w:val="nil"/>
              <w:left w:val="nil"/>
              <w:bottom w:val="nil"/>
              <w:right w:val="nil"/>
            </w:tcBorders>
          </w:tcPr>
          <w:p w14:paraId="24F5F10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.111</w:t>
            </w:r>
          </w:p>
        </w:tc>
        <w:tc>
          <w:tcPr>
            <w:tcW w:w="1000" w:type="dxa"/>
            <w:tcBorders>
              <w:top w:val="nil"/>
              <w:left w:val="nil"/>
              <w:bottom w:val="nil"/>
              <w:right w:val="nil"/>
            </w:tcBorders>
          </w:tcPr>
          <w:p w14:paraId="0A2B8ACF"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2.123</w:t>
            </w:r>
          </w:p>
        </w:tc>
        <w:tc>
          <w:tcPr>
            <w:tcW w:w="1000" w:type="dxa"/>
            <w:tcBorders>
              <w:top w:val="nil"/>
              <w:left w:val="nil"/>
              <w:bottom w:val="nil"/>
              <w:right w:val="nil"/>
            </w:tcBorders>
          </w:tcPr>
          <w:p w14:paraId="4378D9B3"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2.235</w:t>
            </w:r>
          </w:p>
        </w:tc>
        <w:tc>
          <w:tcPr>
            <w:tcW w:w="1000" w:type="dxa"/>
            <w:tcBorders>
              <w:top w:val="nil"/>
              <w:left w:val="nil"/>
              <w:bottom w:val="nil"/>
              <w:right w:val="nil"/>
            </w:tcBorders>
          </w:tcPr>
          <w:p w14:paraId="0E44923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8.259</w:t>
            </w:r>
          </w:p>
        </w:tc>
      </w:tr>
      <w:tr w:rsidR="00010983" w14:paraId="63EF8136" w14:textId="77777777" w:rsidTr="00FD26B8">
        <w:tc>
          <w:tcPr>
            <w:tcW w:w="10108" w:type="dxa"/>
            <w:gridSpan w:val="10"/>
            <w:tcBorders>
              <w:top w:val="single" w:sz="6" w:space="0" w:color="auto"/>
              <w:left w:val="nil"/>
              <w:bottom w:val="nil"/>
              <w:right w:val="nil"/>
            </w:tcBorders>
          </w:tcPr>
          <w:p w14:paraId="40179658" w14:textId="77777777" w:rsidR="00010983" w:rsidRDefault="00010983" w:rsidP="00FD26B8">
            <w:pPr>
              <w:widowControl w:val="0"/>
              <w:autoSpaceDE w:val="0"/>
              <w:autoSpaceDN w:val="0"/>
              <w:adjustRightInd w:val="0"/>
              <w:spacing w:after="0" w:line="240" w:lineRule="auto"/>
              <w:rPr>
                <w:rFonts w:cs="Times New Roman"/>
                <w:szCs w:val="24"/>
              </w:rPr>
            </w:pPr>
          </w:p>
        </w:tc>
      </w:tr>
    </w:tbl>
    <w:p w14:paraId="763CED40" w14:textId="77777777" w:rsidR="00010983" w:rsidRDefault="00010983" w:rsidP="00010983">
      <w:pPr>
        <w:pStyle w:val="Caption"/>
      </w:pPr>
    </w:p>
    <w:p w14:paraId="1A669B07" w14:textId="573702E6" w:rsidR="00010983" w:rsidRPr="0045482D" w:rsidRDefault="00010983" w:rsidP="00010983">
      <w:pPr>
        <w:pStyle w:val="Caption"/>
        <w:rPr>
          <w:b/>
          <w:bCs/>
          <w:i w:val="0"/>
          <w:iCs w:val="0"/>
          <w:color w:val="auto"/>
          <w:sz w:val="24"/>
          <w:szCs w:val="24"/>
        </w:rPr>
      </w:pPr>
      <w:bookmarkStart w:id="16" w:name="_Ref49204958"/>
      <w:bookmarkStart w:id="17" w:name="_Toc48684281"/>
      <w:r w:rsidRPr="0045482D">
        <w:rPr>
          <w:b/>
          <w:bCs/>
          <w:i w:val="0"/>
          <w:iCs w:val="0"/>
          <w:color w:val="auto"/>
          <w:sz w:val="24"/>
          <w:szCs w:val="24"/>
        </w:rPr>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4</w:t>
      </w:r>
      <w:r w:rsidR="009E67C3">
        <w:rPr>
          <w:b/>
          <w:bCs/>
          <w:i w:val="0"/>
          <w:iCs w:val="0"/>
          <w:color w:val="auto"/>
          <w:sz w:val="24"/>
          <w:szCs w:val="24"/>
        </w:rPr>
        <w:fldChar w:fldCharType="end"/>
      </w:r>
      <w:bookmarkEnd w:id="16"/>
      <w:r w:rsidRPr="0045482D">
        <w:rPr>
          <w:b/>
          <w:bCs/>
          <w:i w:val="0"/>
          <w:iCs w:val="0"/>
          <w:color w:val="auto"/>
          <w:sz w:val="24"/>
          <w:szCs w:val="24"/>
        </w:rPr>
        <w:t>: Summary Statistics of Study Variables-Islamic Banks</w:t>
      </w:r>
      <w:bookmarkEnd w:id="17"/>
    </w:p>
    <w:tbl>
      <w:tblPr>
        <w:tblW w:w="0" w:type="auto"/>
        <w:tblLayout w:type="fixed"/>
        <w:tblLook w:val="0000" w:firstRow="0" w:lastRow="0" w:firstColumn="0" w:lastColumn="0" w:noHBand="0" w:noVBand="0"/>
      </w:tblPr>
      <w:tblGrid>
        <w:gridCol w:w="1308"/>
        <w:gridCol w:w="800"/>
        <w:gridCol w:w="1000"/>
        <w:gridCol w:w="1000"/>
        <w:gridCol w:w="1000"/>
        <w:gridCol w:w="1000"/>
        <w:gridCol w:w="1000"/>
        <w:gridCol w:w="1000"/>
        <w:gridCol w:w="1000"/>
        <w:gridCol w:w="1000"/>
      </w:tblGrid>
      <w:tr w:rsidR="00010983" w14:paraId="54B6B062" w14:textId="77777777" w:rsidTr="00FD26B8">
        <w:tc>
          <w:tcPr>
            <w:tcW w:w="1308" w:type="dxa"/>
            <w:tcBorders>
              <w:top w:val="single" w:sz="4" w:space="0" w:color="auto"/>
              <w:left w:val="nil"/>
              <w:bottom w:val="single" w:sz="10" w:space="0" w:color="auto"/>
              <w:right w:val="nil"/>
            </w:tcBorders>
          </w:tcPr>
          <w:p w14:paraId="6D5608DF" w14:textId="77777777" w:rsidR="00010983" w:rsidRDefault="00010983" w:rsidP="00FD26B8">
            <w:pPr>
              <w:widowControl w:val="0"/>
              <w:autoSpaceDE w:val="0"/>
              <w:autoSpaceDN w:val="0"/>
              <w:adjustRightInd w:val="0"/>
              <w:spacing w:after="0" w:line="240" w:lineRule="auto"/>
              <w:rPr>
                <w:rFonts w:cs="Times New Roman"/>
                <w:szCs w:val="24"/>
              </w:rPr>
            </w:pPr>
            <w:bookmarkStart w:id="18" w:name="_Hlk48673614"/>
            <w:r>
              <w:rPr>
                <w:rFonts w:cs="Times New Roman"/>
                <w:szCs w:val="24"/>
              </w:rPr>
              <w:t>Variables</w:t>
            </w:r>
          </w:p>
        </w:tc>
        <w:tc>
          <w:tcPr>
            <w:tcW w:w="800" w:type="dxa"/>
            <w:tcBorders>
              <w:top w:val="single" w:sz="4" w:space="0" w:color="auto"/>
              <w:left w:val="nil"/>
              <w:bottom w:val="single" w:sz="10" w:space="0" w:color="auto"/>
              <w:right w:val="nil"/>
            </w:tcBorders>
          </w:tcPr>
          <w:p w14:paraId="189F4F18"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Obs</w:t>
            </w:r>
          </w:p>
        </w:tc>
        <w:tc>
          <w:tcPr>
            <w:tcW w:w="1000" w:type="dxa"/>
            <w:tcBorders>
              <w:top w:val="single" w:sz="4" w:space="0" w:color="auto"/>
              <w:left w:val="nil"/>
              <w:bottom w:val="single" w:sz="10" w:space="0" w:color="auto"/>
              <w:right w:val="nil"/>
            </w:tcBorders>
          </w:tcPr>
          <w:p w14:paraId="32AA1DC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Mean</w:t>
            </w:r>
          </w:p>
        </w:tc>
        <w:tc>
          <w:tcPr>
            <w:tcW w:w="1000" w:type="dxa"/>
            <w:tcBorders>
              <w:top w:val="single" w:sz="4" w:space="0" w:color="auto"/>
              <w:left w:val="nil"/>
              <w:bottom w:val="single" w:sz="10" w:space="0" w:color="auto"/>
              <w:right w:val="nil"/>
            </w:tcBorders>
          </w:tcPr>
          <w:p w14:paraId="4344BE1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Std. Dev.</w:t>
            </w:r>
          </w:p>
        </w:tc>
        <w:tc>
          <w:tcPr>
            <w:tcW w:w="1000" w:type="dxa"/>
            <w:tcBorders>
              <w:top w:val="single" w:sz="4" w:space="0" w:color="auto"/>
              <w:left w:val="nil"/>
              <w:bottom w:val="single" w:sz="10" w:space="0" w:color="auto"/>
              <w:right w:val="nil"/>
            </w:tcBorders>
          </w:tcPr>
          <w:p w14:paraId="3F3C988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Min</w:t>
            </w:r>
          </w:p>
        </w:tc>
        <w:tc>
          <w:tcPr>
            <w:tcW w:w="1000" w:type="dxa"/>
            <w:tcBorders>
              <w:top w:val="single" w:sz="4" w:space="0" w:color="auto"/>
              <w:left w:val="nil"/>
              <w:bottom w:val="single" w:sz="10" w:space="0" w:color="auto"/>
              <w:right w:val="nil"/>
            </w:tcBorders>
          </w:tcPr>
          <w:p w14:paraId="12B41A4F"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Max</w:t>
            </w:r>
          </w:p>
        </w:tc>
        <w:tc>
          <w:tcPr>
            <w:tcW w:w="1000" w:type="dxa"/>
            <w:tcBorders>
              <w:top w:val="single" w:sz="4" w:space="0" w:color="auto"/>
              <w:left w:val="nil"/>
              <w:bottom w:val="single" w:sz="10" w:space="0" w:color="auto"/>
              <w:right w:val="nil"/>
            </w:tcBorders>
          </w:tcPr>
          <w:p w14:paraId="2262031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p1</w:t>
            </w:r>
          </w:p>
        </w:tc>
        <w:tc>
          <w:tcPr>
            <w:tcW w:w="1000" w:type="dxa"/>
            <w:tcBorders>
              <w:top w:val="single" w:sz="4" w:space="0" w:color="auto"/>
              <w:left w:val="nil"/>
              <w:bottom w:val="single" w:sz="10" w:space="0" w:color="auto"/>
              <w:right w:val="nil"/>
            </w:tcBorders>
          </w:tcPr>
          <w:p w14:paraId="251C902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p99</w:t>
            </w:r>
          </w:p>
        </w:tc>
        <w:tc>
          <w:tcPr>
            <w:tcW w:w="1000" w:type="dxa"/>
            <w:tcBorders>
              <w:top w:val="single" w:sz="4" w:space="0" w:color="auto"/>
              <w:left w:val="nil"/>
              <w:bottom w:val="single" w:sz="10" w:space="0" w:color="auto"/>
              <w:right w:val="nil"/>
            </w:tcBorders>
          </w:tcPr>
          <w:p w14:paraId="53D1D325"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Skew.</w:t>
            </w:r>
          </w:p>
        </w:tc>
        <w:tc>
          <w:tcPr>
            <w:tcW w:w="1000" w:type="dxa"/>
            <w:tcBorders>
              <w:top w:val="single" w:sz="4" w:space="0" w:color="auto"/>
              <w:left w:val="nil"/>
              <w:bottom w:val="single" w:sz="10" w:space="0" w:color="auto"/>
              <w:right w:val="nil"/>
            </w:tcBorders>
          </w:tcPr>
          <w:p w14:paraId="339E232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 xml:space="preserve"> Kurt.</w:t>
            </w:r>
          </w:p>
        </w:tc>
      </w:tr>
      <w:tr w:rsidR="00010983" w14:paraId="07F5FD60" w14:textId="77777777" w:rsidTr="00FD26B8">
        <w:tc>
          <w:tcPr>
            <w:tcW w:w="1308" w:type="dxa"/>
            <w:tcBorders>
              <w:top w:val="nil"/>
              <w:left w:val="nil"/>
              <w:bottom w:val="nil"/>
              <w:right w:val="nil"/>
            </w:tcBorders>
          </w:tcPr>
          <w:p w14:paraId="7F99820E"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LR</w:t>
            </w:r>
          </w:p>
        </w:tc>
        <w:tc>
          <w:tcPr>
            <w:tcW w:w="800" w:type="dxa"/>
            <w:tcBorders>
              <w:top w:val="nil"/>
              <w:left w:val="nil"/>
              <w:bottom w:val="nil"/>
              <w:right w:val="nil"/>
            </w:tcBorders>
          </w:tcPr>
          <w:p w14:paraId="3F1F46DA"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23</w:t>
            </w:r>
          </w:p>
        </w:tc>
        <w:tc>
          <w:tcPr>
            <w:tcW w:w="1000" w:type="dxa"/>
            <w:tcBorders>
              <w:top w:val="nil"/>
              <w:left w:val="nil"/>
              <w:bottom w:val="nil"/>
              <w:right w:val="nil"/>
            </w:tcBorders>
          </w:tcPr>
          <w:p w14:paraId="2DEDE519"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1.893</w:t>
            </w:r>
          </w:p>
        </w:tc>
        <w:tc>
          <w:tcPr>
            <w:tcW w:w="1000" w:type="dxa"/>
            <w:tcBorders>
              <w:top w:val="nil"/>
              <w:left w:val="nil"/>
              <w:bottom w:val="nil"/>
              <w:right w:val="nil"/>
            </w:tcBorders>
          </w:tcPr>
          <w:p w14:paraId="1A7ACA0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.746</w:t>
            </w:r>
          </w:p>
        </w:tc>
        <w:tc>
          <w:tcPr>
            <w:tcW w:w="1000" w:type="dxa"/>
            <w:tcBorders>
              <w:top w:val="nil"/>
              <w:left w:val="nil"/>
              <w:bottom w:val="nil"/>
              <w:right w:val="nil"/>
            </w:tcBorders>
          </w:tcPr>
          <w:p w14:paraId="73A4144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.131</w:t>
            </w:r>
          </w:p>
        </w:tc>
        <w:tc>
          <w:tcPr>
            <w:tcW w:w="1000" w:type="dxa"/>
            <w:tcBorders>
              <w:top w:val="nil"/>
              <w:left w:val="nil"/>
              <w:bottom w:val="nil"/>
              <w:right w:val="nil"/>
            </w:tcBorders>
          </w:tcPr>
          <w:p w14:paraId="78AABD0F"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3.029</w:t>
            </w:r>
          </w:p>
        </w:tc>
        <w:tc>
          <w:tcPr>
            <w:tcW w:w="1000" w:type="dxa"/>
            <w:tcBorders>
              <w:top w:val="nil"/>
              <w:left w:val="nil"/>
              <w:bottom w:val="nil"/>
              <w:right w:val="nil"/>
            </w:tcBorders>
          </w:tcPr>
          <w:p w14:paraId="4923DD9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.131</w:t>
            </w:r>
          </w:p>
        </w:tc>
        <w:tc>
          <w:tcPr>
            <w:tcW w:w="1000" w:type="dxa"/>
            <w:tcBorders>
              <w:top w:val="nil"/>
              <w:left w:val="nil"/>
              <w:bottom w:val="nil"/>
              <w:right w:val="nil"/>
            </w:tcBorders>
          </w:tcPr>
          <w:p w14:paraId="7FF7B38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3.029</w:t>
            </w:r>
          </w:p>
        </w:tc>
        <w:tc>
          <w:tcPr>
            <w:tcW w:w="1000" w:type="dxa"/>
            <w:tcBorders>
              <w:top w:val="nil"/>
              <w:left w:val="nil"/>
              <w:bottom w:val="nil"/>
              <w:right w:val="nil"/>
            </w:tcBorders>
          </w:tcPr>
          <w:p w14:paraId="5CB02B0C"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-.435</w:t>
            </w:r>
          </w:p>
        </w:tc>
        <w:tc>
          <w:tcPr>
            <w:tcW w:w="1000" w:type="dxa"/>
            <w:tcBorders>
              <w:top w:val="nil"/>
              <w:left w:val="nil"/>
              <w:bottom w:val="nil"/>
              <w:right w:val="nil"/>
            </w:tcBorders>
          </w:tcPr>
          <w:p w14:paraId="6D704AE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3.11</w:t>
            </w:r>
          </w:p>
        </w:tc>
      </w:tr>
      <w:tr w:rsidR="00010983" w14:paraId="35B2C580" w14:textId="77777777" w:rsidTr="00FD26B8">
        <w:tc>
          <w:tcPr>
            <w:tcW w:w="1308" w:type="dxa"/>
            <w:tcBorders>
              <w:top w:val="nil"/>
              <w:left w:val="nil"/>
              <w:bottom w:val="nil"/>
              <w:right w:val="nil"/>
            </w:tcBorders>
          </w:tcPr>
          <w:p w14:paraId="0305F8C3"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DA</w:t>
            </w:r>
          </w:p>
        </w:tc>
        <w:tc>
          <w:tcPr>
            <w:tcW w:w="800" w:type="dxa"/>
            <w:tcBorders>
              <w:top w:val="nil"/>
              <w:left w:val="nil"/>
              <w:bottom w:val="nil"/>
              <w:right w:val="nil"/>
            </w:tcBorders>
          </w:tcPr>
          <w:p w14:paraId="1724FCC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23</w:t>
            </w:r>
          </w:p>
        </w:tc>
        <w:tc>
          <w:tcPr>
            <w:tcW w:w="1000" w:type="dxa"/>
            <w:tcBorders>
              <w:top w:val="nil"/>
              <w:left w:val="nil"/>
              <w:bottom w:val="nil"/>
              <w:right w:val="nil"/>
            </w:tcBorders>
          </w:tcPr>
          <w:p w14:paraId="0101162B"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.785</w:t>
            </w:r>
          </w:p>
        </w:tc>
        <w:tc>
          <w:tcPr>
            <w:tcW w:w="1000" w:type="dxa"/>
            <w:tcBorders>
              <w:top w:val="nil"/>
              <w:left w:val="nil"/>
              <w:bottom w:val="nil"/>
              <w:right w:val="nil"/>
            </w:tcBorders>
          </w:tcPr>
          <w:p w14:paraId="21BC0D85"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.172</w:t>
            </w:r>
          </w:p>
        </w:tc>
        <w:tc>
          <w:tcPr>
            <w:tcW w:w="1000" w:type="dxa"/>
            <w:tcBorders>
              <w:top w:val="nil"/>
              <w:left w:val="nil"/>
              <w:bottom w:val="nil"/>
              <w:right w:val="nil"/>
            </w:tcBorders>
          </w:tcPr>
          <w:p w14:paraId="465F6D0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.159</w:t>
            </w:r>
          </w:p>
        </w:tc>
        <w:tc>
          <w:tcPr>
            <w:tcW w:w="1000" w:type="dxa"/>
            <w:tcBorders>
              <w:top w:val="nil"/>
              <w:left w:val="nil"/>
              <w:bottom w:val="nil"/>
              <w:right w:val="nil"/>
            </w:tcBorders>
          </w:tcPr>
          <w:p w14:paraId="55E57B7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.879</w:t>
            </w:r>
          </w:p>
        </w:tc>
        <w:tc>
          <w:tcPr>
            <w:tcW w:w="1000" w:type="dxa"/>
            <w:tcBorders>
              <w:top w:val="nil"/>
              <w:left w:val="nil"/>
              <w:bottom w:val="nil"/>
              <w:right w:val="nil"/>
            </w:tcBorders>
          </w:tcPr>
          <w:p w14:paraId="5FBF74E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.159</w:t>
            </w:r>
          </w:p>
        </w:tc>
        <w:tc>
          <w:tcPr>
            <w:tcW w:w="1000" w:type="dxa"/>
            <w:tcBorders>
              <w:top w:val="nil"/>
              <w:left w:val="nil"/>
              <w:bottom w:val="nil"/>
              <w:right w:val="nil"/>
            </w:tcBorders>
          </w:tcPr>
          <w:p w14:paraId="4EF3A8F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.879</w:t>
            </w:r>
          </w:p>
        </w:tc>
        <w:tc>
          <w:tcPr>
            <w:tcW w:w="1000" w:type="dxa"/>
            <w:tcBorders>
              <w:top w:val="nil"/>
              <w:left w:val="nil"/>
              <w:bottom w:val="nil"/>
              <w:right w:val="nil"/>
            </w:tcBorders>
          </w:tcPr>
          <w:p w14:paraId="74A6D629"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-2.704</w:t>
            </w:r>
          </w:p>
        </w:tc>
        <w:tc>
          <w:tcPr>
            <w:tcW w:w="1000" w:type="dxa"/>
            <w:tcBorders>
              <w:top w:val="nil"/>
              <w:left w:val="nil"/>
              <w:bottom w:val="nil"/>
              <w:right w:val="nil"/>
            </w:tcBorders>
          </w:tcPr>
          <w:p w14:paraId="3F72E47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9.411</w:t>
            </w:r>
          </w:p>
        </w:tc>
      </w:tr>
      <w:tr w:rsidR="00010983" w14:paraId="65C3D643" w14:textId="77777777" w:rsidTr="00FD26B8">
        <w:tc>
          <w:tcPr>
            <w:tcW w:w="1308" w:type="dxa"/>
            <w:tcBorders>
              <w:top w:val="nil"/>
              <w:left w:val="nil"/>
              <w:bottom w:val="nil"/>
              <w:right w:val="nil"/>
            </w:tcBorders>
          </w:tcPr>
          <w:p w14:paraId="264FA268"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CR</w:t>
            </w:r>
          </w:p>
        </w:tc>
        <w:tc>
          <w:tcPr>
            <w:tcW w:w="800" w:type="dxa"/>
            <w:tcBorders>
              <w:top w:val="nil"/>
              <w:left w:val="nil"/>
              <w:bottom w:val="nil"/>
              <w:right w:val="nil"/>
            </w:tcBorders>
          </w:tcPr>
          <w:p w14:paraId="581640A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23</w:t>
            </w:r>
          </w:p>
        </w:tc>
        <w:tc>
          <w:tcPr>
            <w:tcW w:w="1000" w:type="dxa"/>
            <w:tcBorders>
              <w:top w:val="nil"/>
              <w:left w:val="nil"/>
              <w:bottom w:val="nil"/>
              <w:right w:val="nil"/>
            </w:tcBorders>
          </w:tcPr>
          <w:p w14:paraId="68BA39F3"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.229</w:t>
            </w:r>
          </w:p>
        </w:tc>
        <w:tc>
          <w:tcPr>
            <w:tcW w:w="1000" w:type="dxa"/>
            <w:tcBorders>
              <w:top w:val="nil"/>
              <w:left w:val="nil"/>
              <w:bottom w:val="nil"/>
              <w:right w:val="nil"/>
            </w:tcBorders>
          </w:tcPr>
          <w:p w14:paraId="4B4E1AD5"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.121</w:t>
            </w:r>
          </w:p>
        </w:tc>
        <w:tc>
          <w:tcPr>
            <w:tcW w:w="1000" w:type="dxa"/>
            <w:tcBorders>
              <w:top w:val="nil"/>
              <w:left w:val="nil"/>
              <w:bottom w:val="nil"/>
              <w:right w:val="nil"/>
            </w:tcBorders>
          </w:tcPr>
          <w:p w14:paraId="0E684B6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.021</w:t>
            </w:r>
          </w:p>
        </w:tc>
        <w:tc>
          <w:tcPr>
            <w:tcW w:w="1000" w:type="dxa"/>
            <w:tcBorders>
              <w:top w:val="nil"/>
              <w:left w:val="nil"/>
              <w:bottom w:val="nil"/>
              <w:right w:val="nil"/>
            </w:tcBorders>
          </w:tcPr>
          <w:p w14:paraId="52206E3A"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.59</w:t>
            </w:r>
          </w:p>
        </w:tc>
        <w:tc>
          <w:tcPr>
            <w:tcW w:w="1000" w:type="dxa"/>
            <w:tcBorders>
              <w:top w:val="nil"/>
              <w:left w:val="nil"/>
              <w:bottom w:val="nil"/>
              <w:right w:val="nil"/>
            </w:tcBorders>
          </w:tcPr>
          <w:p w14:paraId="4131846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.021</w:t>
            </w:r>
          </w:p>
        </w:tc>
        <w:tc>
          <w:tcPr>
            <w:tcW w:w="1000" w:type="dxa"/>
            <w:tcBorders>
              <w:top w:val="nil"/>
              <w:left w:val="nil"/>
              <w:bottom w:val="nil"/>
              <w:right w:val="nil"/>
            </w:tcBorders>
          </w:tcPr>
          <w:p w14:paraId="23B2563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.59</w:t>
            </w:r>
          </w:p>
        </w:tc>
        <w:tc>
          <w:tcPr>
            <w:tcW w:w="1000" w:type="dxa"/>
            <w:tcBorders>
              <w:top w:val="nil"/>
              <w:left w:val="nil"/>
              <w:bottom w:val="nil"/>
              <w:right w:val="nil"/>
            </w:tcBorders>
          </w:tcPr>
          <w:p w14:paraId="0BA339AE"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1.299</w:t>
            </w:r>
          </w:p>
        </w:tc>
        <w:tc>
          <w:tcPr>
            <w:tcW w:w="1000" w:type="dxa"/>
            <w:tcBorders>
              <w:top w:val="nil"/>
              <w:left w:val="nil"/>
              <w:bottom w:val="nil"/>
              <w:right w:val="nil"/>
            </w:tcBorders>
          </w:tcPr>
          <w:p w14:paraId="0FE881AF"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5.031</w:t>
            </w:r>
          </w:p>
        </w:tc>
      </w:tr>
      <w:tr w:rsidR="00010983" w14:paraId="33D6DAD8" w14:textId="77777777" w:rsidTr="00FD26B8">
        <w:tc>
          <w:tcPr>
            <w:tcW w:w="1308" w:type="dxa"/>
            <w:tcBorders>
              <w:top w:val="nil"/>
              <w:left w:val="nil"/>
              <w:bottom w:val="nil"/>
              <w:right w:val="nil"/>
            </w:tcBorders>
          </w:tcPr>
          <w:p w14:paraId="24FFB151"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ROE</w:t>
            </w:r>
          </w:p>
        </w:tc>
        <w:tc>
          <w:tcPr>
            <w:tcW w:w="800" w:type="dxa"/>
            <w:tcBorders>
              <w:top w:val="nil"/>
              <w:left w:val="nil"/>
              <w:bottom w:val="nil"/>
              <w:right w:val="nil"/>
            </w:tcBorders>
          </w:tcPr>
          <w:p w14:paraId="00423643"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23</w:t>
            </w:r>
          </w:p>
        </w:tc>
        <w:tc>
          <w:tcPr>
            <w:tcW w:w="1000" w:type="dxa"/>
            <w:tcBorders>
              <w:top w:val="nil"/>
              <w:left w:val="nil"/>
              <w:bottom w:val="nil"/>
              <w:right w:val="nil"/>
            </w:tcBorders>
          </w:tcPr>
          <w:p w14:paraId="072866E9"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.057</w:t>
            </w:r>
          </w:p>
        </w:tc>
        <w:tc>
          <w:tcPr>
            <w:tcW w:w="1000" w:type="dxa"/>
            <w:tcBorders>
              <w:top w:val="nil"/>
              <w:left w:val="nil"/>
              <w:bottom w:val="nil"/>
              <w:right w:val="nil"/>
            </w:tcBorders>
          </w:tcPr>
          <w:p w14:paraId="34009F7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.06</w:t>
            </w:r>
          </w:p>
        </w:tc>
        <w:tc>
          <w:tcPr>
            <w:tcW w:w="1000" w:type="dxa"/>
            <w:tcBorders>
              <w:top w:val="nil"/>
              <w:left w:val="nil"/>
              <w:bottom w:val="nil"/>
              <w:right w:val="nil"/>
            </w:tcBorders>
          </w:tcPr>
          <w:p w14:paraId="16F2372B"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-.047</w:t>
            </w:r>
          </w:p>
        </w:tc>
        <w:tc>
          <w:tcPr>
            <w:tcW w:w="1000" w:type="dxa"/>
            <w:tcBorders>
              <w:top w:val="nil"/>
              <w:left w:val="nil"/>
              <w:bottom w:val="nil"/>
              <w:right w:val="nil"/>
            </w:tcBorders>
          </w:tcPr>
          <w:p w14:paraId="653B37E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.138</w:t>
            </w:r>
          </w:p>
        </w:tc>
        <w:tc>
          <w:tcPr>
            <w:tcW w:w="1000" w:type="dxa"/>
            <w:tcBorders>
              <w:top w:val="nil"/>
              <w:left w:val="nil"/>
              <w:bottom w:val="nil"/>
              <w:right w:val="nil"/>
            </w:tcBorders>
          </w:tcPr>
          <w:p w14:paraId="2BDBD7B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-.047</w:t>
            </w:r>
          </w:p>
        </w:tc>
        <w:tc>
          <w:tcPr>
            <w:tcW w:w="1000" w:type="dxa"/>
            <w:tcBorders>
              <w:top w:val="nil"/>
              <w:left w:val="nil"/>
              <w:bottom w:val="nil"/>
              <w:right w:val="nil"/>
            </w:tcBorders>
          </w:tcPr>
          <w:p w14:paraId="2BEE89C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.138</w:t>
            </w:r>
          </w:p>
        </w:tc>
        <w:tc>
          <w:tcPr>
            <w:tcW w:w="1000" w:type="dxa"/>
            <w:tcBorders>
              <w:top w:val="nil"/>
              <w:left w:val="nil"/>
              <w:bottom w:val="nil"/>
              <w:right w:val="nil"/>
            </w:tcBorders>
          </w:tcPr>
          <w:p w14:paraId="79276C87"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-.328</w:t>
            </w:r>
          </w:p>
        </w:tc>
        <w:tc>
          <w:tcPr>
            <w:tcW w:w="1000" w:type="dxa"/>
            <w:tcBorders>
              <w:top w:val="nil"/>
              <w:left w:val="nil"/>
              <w:bottom w:val="nil"/>
              <w:right w:val="nil"/>
            </w:tcBorders>
          </w:tcPr>
          <w:p w14:paraId="787B78D1"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1.92</w:t>
            </w:r>
          </w:p>
        </w:tc>
      </w:tr>
      <w:tr w:rsidR="00010983" w14:paraId="0B715380" w14:textId="77777777" w:rsidTr="00FD26B8">
        <w:tc>
          <w:tcPr>
            <w:tcW w:w="1308" w:type="dxa"/>
            <w:tcBorders>
              <w:top w:val="nil"/>
              <w:left w:val="nil"/>
              <w:bottom w:val="nil"/>
              <w:right w:val="nil"/>
            </w:tcBorders>
          </w:tcPr>
          <w:p w14:paraId="5496601E"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BS</w:t>
            </w:r>
          </w:p>
        </w:tc>
        <w:tc>
          <w:tcPr>
            <w:tcW w:w="800" w:type="dxa"/>
            <w:tcBorders>
              <w:top w:val="nil"/>
              <w:left w:val="nil"/>
              <w:bottom w:val="nil"/>
              <w:right w:val="nil"/>
            </w:tcBorders>
          </w:tcPr>
          <w:p w14:paraId="27F23BF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23</w:t>
            </w:r>
          </w:p>
        </w:tc>
        <w:tc>
          <w:tcPr>
            <w:tcW w:w="1000" w:type="dxa"/>
            <w:tcBorders>
              <w:top w:val="nil"/>
              <w:left w:val="nil"/>
              <w:bottom w:val="nil"/>
              <w:right w:val="nil"/>
            </w:tcBorders>
          </w:tcPr>
          <w:p w14:paraId="12F316C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19.918</w:t>
            </w:r>
          </w:p>
        </w:tc>
        <w:tc>
          <w:tcPr>
            <w:tcW w:w="1000" w:type="dxa"/>
            <w:tcBorders>
              <w:top w:val="nil"/>
              <w:left w:val="nil"/>
              <w:bottom w:val="nil"/>
              <w:right w:val="nil"/>
            </w:tcBorders>
          </w:tcPr>
          <w:p w14:paraId="12BD6B9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.679</w:t>
            </w:r>
          </w:p>
        </w:tc>
        <w:tc>
          <w:tcPr>
            <w:tcW w:w="1000" w:type="dxa"/>
            <w:tcBorders>
              <w:top w:val="nil"/>
              <w:left w:val="nil"/>
              <w:bottom w:val="nil"/>
              <w:right w:val="nil"/>
            </w:tcBorders>
          </w:tcPr>
          <w:p w14:paraId="07D4780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18.282</w:t>
            </w:r>
          </w:p>
        </w:tc>
        <w:tc>
          <w:tcPr>
            <w:tcW w:w="1000" w:type="dxa"/>
            <w:tcBorders>
              <w:top w:val="nil"/>
              <w:left w:val="nil"/>
              <w:bottom w:val="nil"/>
              <w:right w:val="nil"/>
            </w:tcBorders>
          </w:tcPr>
          <w:p w14:paraId="7D0CD8D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20.823</w:t>
            </w:r>
          </w:p>
        </w:tc>
        <w:tc>
          <w:tcPr>
            <w:tcW w:w="1000" w:type="dxa"/>
            <w:tcBorders>
              <w:top w:val="nil"/>
              <w:left w:val="nil"/>
              <w:bottom w:val="nil"/>
              <w:right w:val="nil"/>
            </w:tcBorders>
          </w:tcPr>
          <w:p w14:paraId="70E884F4"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18.282</w:t>
            </w:r>
          </w:p>
        </w:tc>
        <w:tc>
          <w:tcPr>
            <w:tcW w:w="1000" w:type="dxa"/>
            <w:tcBorders>
              <w:top w:val="nil"/>
              <w:left w:val="nil"/>
              <w:bottom w:val="nil"/>
              <w:right w:val="nil"/>
            </w:tcBorders>
          </w:tcPr>
          <w:p w14:paraId="2341696C"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20.823</w:t>
            </w:r>
          </w:p>
        </w:tc>
        <w:tc>
          <w:tcPr>
            <w:tcW w:w="1000" w:type="dxa"/>
            <w:tcBorders>
              <w:top w:val="nil"/>
              <w:left w:val="nil"/>
              <w:bottom w:val="nil"/>
              <w:right w:val="nil"/>
            </w:tcBorders>
          </w:tcPr>
          <w:p w14:paraId="1F76138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-.675</w:t>
            </w:r>
          </w:p>
        </w:tc>
        <w:tc>
          <w:tcPr>
            <w:tcW w:w="1000" w:type="dxa"/>
            <w:tcBorders>
              <w:top w:val="nil"/>
              <w:left w:val="nil"/>
              <w:bottom w:val="nil"/>
              <w:right w:val="nil"/>
            </w:tcBorders>
          </w:tcPr>
          <w:p w14:paraId="0FD8CE5C"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2.959</w:t>
            </w:r>
          </w:p>
        </w:tc>
      </w:tr>
      <w:tr w:rsidR="00010983" w14:paraId="29AD0B22" w14:textId="77777777" w:rsidTr="00FD26B8">
        <w:tc>
          <w:tcPr>
            <w:tcW w:w="1308" w:type="dxa"/>
            <w:tcBorders>
              <w:top w:val="nil"/>
              <w:left w:val="nil"/>
              <w:bottom w:val="nil"/>
              <w:right w:val="nil"/>
            </w:tcBorders>
          </w:tcPr>
          <w:p w14:paraId="159D1232" w14:textId="77777777" w:rsidR="00010983" w:rsidRDefault="00010983" w:rsidP="00FD26B8">
            <w:pPr>
              <w:widowControl w:val="0"/>
              <w:autoSpaceDE w:val="0"/>
              <w:autoSpaceDN w:val="0"/>
              <w:adjustRightInd w:val="0"/>
              <w:spacing w:after="0" w:line="240" w:lineRule="auto"/>
              <w:rPr>
                <w:rFonts w:cs="Times New Roman"/>
                <w:szCs w:val="24"/>
              </w:rPr>
            </w:pPr>
            <w:r>
              <w:rPr>
                <w:rFonts w:cs="Times New Roman"/>
                <w:szCs w:val="24"/>
              </w:rPr>
              <w:t xml:space="preserve"> CAR</w:t>
            </w:r>
          </w:p>
        </w:tc>
        <w:tc>
          <w:tcPr>
            <w:tcW w:w="800" w:type="dxa"/>
            <w:tcBorders>
              <w:top w:val="nil"/>
              <w:left w:val="nil"/>
              <w:bottom w:val="nil"/>
              <w:right w:val="nil"/>
            </w:tcBorders>
          </w:tcPr>
          <w:p w14:paraId="45CFC096"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23</w:t>
            </w:r>
          </w:p>
        </w:tc>
        <w:tc>
          <w:tcPr>
            <w:tcW w:w="1000" w:type="dxa"/>
            <w:tcBorders>
              <w:top w:val="nil"/>
              <w:left w:val="nil"/>
              <w:bottom w:val="nil"/>
              <w:right w:val="nil"/>
            </w:tcBorders>
          </w:tcPr>
          <w:p w14:paraId="4E1C0BB7"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.293</w:t>
            </w:r>
          </w:p>
        </w:tc>
        <w:tc>
          <w:tcPr>
            <w:tcW w:w="1000" w:type="dxa"/>
            <w:tcBorders>
              <w:top w:val="nil"/>
              <w:left w:val="nil"/>
              <w:bottom w:val="nil"/>
              <w:right w:val="nil"/>
            </w:tcBorders>
          </w:tcPr>
          <w:p w14:paraId="24FA416D"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.285</w:t>
            </w:r>
          </w:p>
        </w:tc>
        <w:tc>
          <w:tcPr>
            <w:tcW w:w="1000" w:type="dxa"/>
            <w:tcBorders>
              <w:top w:val="nil"/>
              <w:left w:val="nil"/>
              <w:bottom w:val="nil"/>
              <w:right w:val="nil"/>
            </w:tcBorders>
          </w:tcPr>
          <w:p w14:paraId="2FACB330"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.121</w:t>
            </w:r>
          </w:p>
        </w:tc>
        <w:tc>
          <w:tcPr>
            <w:tcW w:w="1000" w:type="dxa"/>
            <w:tcBorders>
              <w:top w:val="nil"/>
              <w:left w:val="nil"/>
              <w:bottom w:val="nil"/>
              <w:right w:val="nil"/>
            </w:tcBorders>
          </w:tcPr>
          <w:p w14:paraId="0F6301F2"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1.289</w:t>
            </w:r>
          </w:p>
        </w:tc>
        <w:tc>
          <w:tcPr>
            <w:tcW w:w="1000" w:type="dxa"/>
            <w:tcBorders>
              <w:top w:val="nil"/>
              <w:left w:val="nil"/>
              <w:bottom w:val="nil"/>
              <w:right w:val="nil"/>
            </w:tcBorders>
          </w:tcPr>
          <w:p w14:paraId="644E5BA8"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.121</w:t>
            </w:r>
          </w:p>
        </w:tc>
        <w:tc>
          <w:tcPr>
            <w:tcW w:w="1000" w:type="dxa"/>
            <w:tcBorders>
              <w:top w:val="nil"/>
              <w:left w:val="nil"/>
              <w:bottom w:val="nil"/>
              <w:right w:val="nil"/>
            </w:tcBorders>
          </w:tcPr>
          <w:p w14:paraId="2D1F2575"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1.289</w:t>
            </w:r>
          </w:p>
        </w:tc>
        <w:tc>
          <w:tcPr>
            <w:tcW w:w="1000" w:type="dxa"/>
            <w:tcBorders>
              <w:top w:val="nil"/>
              <w:left w:val="nil"/>
              <w:bottom w:val="nil"/>
              <w:right w:val="nil"/>
            </w:tcBorders>
          </w:tcPr>
          <w:p w14:paraId="1EECC2C9"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2.519</w:t>
            </w:r>
          </w:p>
        </w:tc>
        <w:tc>
          <w:tcPr>
            <w:tcW w:w="1000" w:type="dxa"/>
            <w:tcBorders>
              <w:top w:val="nil"/>
              <w:left w:val="nil"/>
              <w:bottom w:val="nil"/>
              <w:right w:val="nil"/>
            </w:tcBorders>
          </w:tcPr>
          <w:p w14:paraId="7BF96538" w14:textId="77777777" w:rsidR="00010983" w:rsidRDefault="00010983" w:rsidP="00FD26B8">
            <w:pPr>
              <w:widowControl w:val="0"/>
              <w:autoSpaceDE w:val="0"/>
              <w:autoSpaceDN w:val="0"/>
              <w:adjustRightInd w:val="0"/>
              <w:spacing w:after="0" w:line="240" w:lineRule="auto"/>
              <w:jc w:val="right"/>
              <w:rPr>
                <w:rFonts w:cs="Times New Roman"/>
                <w:szCs w:val="24"/>
              </w:rPr>
            </w:pPr>
            <w:r>
              <w:rPr>
                <w:rFonts w:cs="Times New Roman"/>
                <w:szCs w:val="24"/>
              </w:rPr>
              <w:t>8.532</w:t>
            </w:r>
          </w:p>
        </w:tc>
      </w:tr>
      <w:bookmarkEnd w:id="18"/>
      <w:tr w:rsidR="00010983" w14:paraId="46DB54FE" w14:textId="77777777" w:rsidTr="00FD26B8">
        <w:tc>
          <w:tcPr>
            <w:tcW w:w="10108" w:type="dxa"/>
            <w:gridSpan w:val="10"/>
            <w:tcBorders>
              <w:top w:val="single" w:sz="6" w:space="0" w:color="auto"/>
              <w:left w:val="nil"/>
              <w:bottom w:val="nil"/>
              <w:right w:val="nil"/>
            </w:tcBorders>
          </w:tcPr>
          <w:p w14:paraId="6E90DF81" w14:textId="77777777" w:rsidR="00010983" w:rsidRDefault="00010983" w:rsidP="00FD26B8">
            <w:pPr>
              <w:widowControl w:val="0"/>
              <w:autoSpaceDE w:val="0"/>
              <w:autoSpaceDN w:val="0"/>
              <w:adjustRightInd w:val="0"/>
              <w:spacing w:after="0" w:line="240" w:lineRule="auto"/>
              <w:rPr>
                <w:rFonts w:cs="Times New Roman"/>
                <w:szCs w:val="24"/>
              </w:rPr>
            </w:pPr>
          </w:p>
        </w:tc>
      </w:tr>
    </w:tbl>
    <w:p w14:paraId="67587B4C" w14:textId="77777777" w:rsidR="00010983" w:rsidRDefault="00010983" w:rsidP="00010983">
      <w:r w:rsidRPr="00CA6ACE">
        <w:br/>
      </w:r>
      <w:r>
        <w:t>The two table above make it clear that:</w:t>
      </w:r>
    </w:p>
    <w:p w14:paraId="487F0972" w14:textId="77777777" w:rsidR="00010983" w:rsidRDefault="00010983" w:rsidP="00010983">
      <w:pPr>
        <w:pStyle w:val="ListParagraph"/>
        <w:numPr>
          <w:ilvl w:val="0"/>
          <w:numId w:val="38"/>
        </w:numPr>
        <w:spacing w:after="200"/>
      </w:pPr>
      <w:r>
        <w:t>Islamic Banks have higher average liquidity as measured by total customer deposits by liquid assets.</w:t>
      </w:r>
    </w:p>
    <w:p w14:paraId="4C9A3766" w14:textId="77777777" w:rsidR="00010983" w:rsidRDefault="00010983" w:rsidP="00010983">
      <w:pPr>
        <w:pStyle w:val="ListParagraph"/>
        <w:numPr>
          <w:ilvl w:val="0"/>
          <w:numId w:val="38"/>
        </w:numPr>
        <w:spacing w:after="200"/>
      </w:pPr>
      <w:r>
        <w:t>Islamic Banks have higher average deposit to asset (DA) and higher cash ratio (CR) compared with conventional banks.</w:t>
      </w:r>
    </w:p>
    <w:p w14:paraId="534C2DDA" w14:textId="77777777" w:rsidR="00010983" w:rsidRDefault="00010983" w:rsidP="00010983">
      <w:pPr>
        <w:pStyle w:val="ListParagraph"/>
        <w:numPr>
          <w:ilvl w:val="0"/>
          <w:numId w:val="38"/>
        </w:numPr>
        <w:spacing w:after="200"/>
      </w:pPr>
      <w:r>
        <w:t xml:space="preserve">Conventional banks have higher average ROE and CAR compared with Islamic Banks. </w:t>
      </w:r>
    </w:p>
    <w:p w14:paraId="2C87F051" w14:textId="77777777" w:rsidR="00010983" w:rsidRDefault="00010983" w:rsidP="00010983">
      <w:pPr>
        <w:ind w:left="360"/>
      </w:pPr>
      <w:r>
        <w:lastRenderedPageBreak/>
        <w:t>In order to see whether the differences between the ratios are statistically significant at 5% level of significance, a two sample T-test is performed. The null hypothesis is:</w:t>
      </w:r>
    </w:p>
    <w:p w14:paraId="761B3162" w14:textId="0F589A00" w:rsidR="00010983" w:rsidRPr="00C1643D" w:rsidRDefault="00AB053A" w:rsidP="00010983">
      <w:pPr>
        <w:ind w:left="360"/>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o</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Ci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Ii</m:t>
              </m:r>
            </m:sub>
          </m:sSub>
        </m:oMath>
      </m:oMathPara>
    </w:p>
    <w:p w14:paraId="3E3E21D1" w14:textId="7AC775E1" w:rsidR="00C1643D" w:rsidRPr="00C1643D" w:rsidRDefault="00C1643D" w:rsidP="00010983">
      <w:pPr>
        <w:ind w:left="360"/>
        <w:rPr>
          <w:rFonts w:eastAsiaTheme="minorEastAsia"/>
        </w:rPr>
      </w:pPr>
      <w:r>
        <w:rPr>
          <w:rFonts w:eastAsiaTheme="minorEastAsia"/>
        </w:rPr>
        <w:t>The alternative hypothesis is:</w:t>
      </w:r>
    </w:p>
    <w:p w14:paraId="48969D4D" w14:textId="1E740B0A" w:rsidR="00C1643D" w:rsidRDefault="00AB053A" w:rsidP="00C1643D">
      <w:pPr>
        <w:ind w:left="360"/>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Ci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Ii</m:t>
              </m:r>
            </m:sub>
          </m:sSub>
        </m:oMath>
      </m:oMathPara>
    </w:p>
    <w:p w14:paraId="38522252" w14:textId="64389E2B" w:rsidR="00C1643D" w:rsidRDefault="00C1643D" w:rsidP="004B18D5"/>
    <w:p w14:paraId="6B18C491" w14:textId="7BF4762F" w:rsidR="004B18D5" w:rsidRDefault="004B18D5" w:rsidP="004B18D5">
      <w:r>
        <w:t xml:space="preserve">Where </w:t>
      </w:r>
      <m:oMath>
        <m:sSub>
          <m:sSubPr>
            <m:ctrlPr>
              <w:rPr>
                <w:rFonts w:ascii="Cambria Math" w:hAnsi="Cambria Math"/>
                <w:i/>
              </w:rPr>
            </m:ctrlPr>
          </m:sSubPr>
          <m:e>
            <m:r>
              <w:rPr>
                <w:rFonts w:ascii="Cambria Math" w:hAnsi="Cambria Math"/>
              </w:rPr>
              <m:t>μ</m:t>
            </m:r>
          </m:e>
          <m:sub>
            <m:r>
              <w:rPr>
                <w:rFonts w:ascii="Cambria Math" w:hAnsi="Cambria Math"/>
              </w:rPr>
              <m:t>Ci</m:t>
            </m:r>
          </m:sub>
        </m:sSub>
      </m:oMath>
      <w:r>
        <w:rPr>
          <w:rFonts w:eastAsiaTheme="minorEastAsia"/>
        </w:rPr>
        <w:t xml:space="preserve"> is the average response of conventional banks for variable i and </w:t>
      </w:r>
      <m:oMath>
        <m:sSub>
          <m:sSubPr>
            <m:ctrlPr>
              <w:rPr>
                <w:rFonts w:ascii="Cambria Math" w:hAnsi="Cambria Math"/>
                <w:i/>
              </w:rPr>
            </m:ctrlPr>
          </m:sSubPr>
          <m:e>
            <m:r>
              <w:rPr>
                <w:rFonts w:ascii="Cambria Math" w:hAnsi="Cambria Math"/>
              </w:rPr>
              <m:t>μ</m:t>
            </m:r>
          </m:e>
          <m:sub>
            <m:r>
              <w:rPr>
                <w:rFonts w:ascii="Cambria Math" w:hAnsi="Cambria Math"/>
              </w:rPr>
              <m:t>Ii</m:t>
            </m:r>
          </m:sub>
        </m:sSub>
      </m:oMath>
      <w:r>
        <w:rPr>
          <w:rFonts w:eastAsiaTheme="minorEastAsia"/>
        </w:rPr>
        <w:t xml:space="preserve"> is the average response of Islamic banks for variable i.</w:t>
      </w:r>
    </w:p>
    <w:p w14:paraId="68B053EA" w14:textId="77777777" w:rsidR="00C1643D" w:rsidRDefault="00C1643D" w:rsidP="00010983">
      <w:pPr>
        <w:ind w:left="360"/>
      </w:pPr>
    </w:p>
    <w:p w14:paraId="0C427444" w14:textId="169DAC10" w:rsidR="00010983" w:rsidRPr="00E43F64" w:rsidRDefault="00E85A6B" w:rsidP="00E85A6B">
      <w:r w:rsidRPr="00E85A6B">
        <w:fldChar w:fldCharType="begin"/>
      </w:r>
      <w:r w:rsidRPr="00E85A6B">
        <w:instrText xml:space="preserve"> REF _Ref48672608 \h  \* MERGEFORMAT </w:instrText>
      </w:r>
      <w:r w:rsidRPr="00E85A6B">
        <w:fldChar w:fldCharType="separate"/>
      </w:r>
      <w:r w:rsidRPr="00E85A6B">
        <w:t>Table 5</w:t>
      </w:r>
      <w:r w:rsidRPr="00E85A6B">
        <w:fldChar w:fldCharType="end"/>
      </w:r>
      <w:r w:rsidR="00010983" w:rsidRPr="00E85A6B">
        <w:t xml:space="preserve"> shows</w:t>
      </w:r>
      <w:r w:rsidR="00010983" w:rsidRPr="00E43F64">
        <w:t xml:space="preserve"> the results of these tests.</w:t>
      </w:r>
    </w:p>
    <w:p w14:paraId="6C730B53" w14:textId="1868411C" w:rsidR="00010983" w:rsidRPr="00A961E0" w:rsidRDefault="00010983" w:rsidP="00010983">
      <w:pPr>
        <w:pStyle w:val="Caption"/>
        <w:spacing w:after="0"/>
        <w:ind w:left="360"/>
        <w:jc w:val="center"/>
        <w:rPr>
          <w:b/>
          <w:bCs/>
          <w:i w:val="0"/>
          <w:iCs w:val="0"/>
          <w:color w:val="auto"/>
          <w:sz w:val="24"/>
          <w:szCs w:val="24"/>
        </w:rPr>
      </w:pPr>
      <w:bookmarkStart w:id="19" w:name="_Ref48672608"/>
      <w:bookmarkStart w:id="20" w:name="_Toc48684282"/>
      <w:r w:rsidRPr="00A961E0">
        <w:rPr>
          <w:b/>
          <w:bCs/>
          <w:i w:val="0"/>
          <w:iCs w:val="0"/>
          <w:color w:val="auto"/>
          <w:sz w:val="24"/>
          <w:szCs w:val="24"/>
        </w:rPr>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5</w:t>
      </w:r>
      <w:r w:rsidR="009E67C3">
        <w:rPr>
          <w:b/>
          <w:bCs/>
          <w:i w:val="0"/>
          <w:iCs w:val="0"/>
          <w:color w:val="auto"/>
          <w:sz w:val="24"/>
          <w:szCs w:val="24"/>
        </w:rPr>
        <w:fldChar w:fldCharType="end"/>
      </w:r>
      <w:bookmarkEnd w:id="19"/>
      <w:r w:rsidRPr="00A961E0">
        <w:rPr>
          <w:b/>
          <w:bCs/>
          <w:i w:val="0"/>
          <w:iCs w:val="0"/>
          <w:color w:val="auto"/>
          <w:sz w:val="24"/>
          <w:szCs w:val="24"/>
        </w:rPr>
        <w:t>: Difference Test –</w:t>
      </w:r>
      <w:r>
        <w:rPr>
          <w:b/>
          <w:bCs/>
          <w:i w:val="0"/>
          <w:iCs w:val="0"/>
          <w:color w:val="auto"/>
          <w:sz w:val="24"/>
          <w:szCs w:val="24"/>
        </w:rPr>
        <w:t xml:space="preserve"> Two Samples </w:t>
      </w:r>
      <w:r w:rsidRPr="00A961E0">
        <w:rPr>
          <w:b/>
          <w:bCs/>
          <w:i w:val="0"/>
          <w:iCs w:val="0"/>
          <w:color w:val="auto"/>
          <w:sz w:val="24"/>
          <w:szCs w:val="24"/>
        </w:rPr>
        <w:t>T</w:t>
      </w:r>
      <w:r>
        <w:rPr>
          <w:b/>
          <w:bCs/>
          <w:i w:val="0"/>
          <w:iCs w:val="0"/>
          <w:color w:val="auto"/>
          <w:sz w:val="24"/>
          <w:szCs w:val="24"/>
        </w:rPr>
        <w:t>-t</w:t>
      </w:r>
      <w:r w:rsidRPr="00A961E0">
        <w:rPr>
          <w:b/>
          <w:bCs/>
          <w:i w:val="0"/>
          <w:iCs w:val="0"/>
          <w:color w:val="auto"/>
          <w:sz w:val="24"/>
          <w:szCs w:val="24"/>
        </w:rPr>
        <w:t>est</w:t>
      </w:r>
      <w:bookmarkEnd w:id="20"/>
    </w:p>
    <w:tbl>
      <w:tblPr>
        <w:tblStyle w:val="TableGrid"/>
        <w:tblW w:w="2620" w:type="pct"/>
        <w:jc w:val="center"/>
        <w:tblLook w:val="04A0" w:firstRow="1" w:lastRow="0" w:firstColumn="1" w:lastColumn="0" w:noHBand="0" w:noVBand="1"/>
      </w:tblPr>
      <w:tblGrid>
        <w:gridCol w:w="2449"/>
        <w:gridCol w:w="2450"/>
      </w:tblGrid>
      <w:tr w:rsidR="00010983" w:rsidRPr="00476A12" w14:paraId="433F7D04" w14:textId="77777777" w:rsidTr="00FD26B8">
        <w:trPr>
          <w:trHeight w:val="272"/>
          <w:jc w:val="center"/>
        </w:trPr>
        <w:tc>
          <w:tcPr>
            <w:tcW w:w="2499" w:type="pct"/>
            <w:noWrap/>
          </w:tcPr>
          <w:p w14:paraId="148658F4" w14:textId="77777777" w:rsidR="00010983" w:rsidRPr="00656B6C" w:rsidRDefault="00010983" w:rsidP="00FD26B8">
            <w:pPr>
              <w:rPr>
                <w:b/>
                <w:bCs/>
              </w:rPr>
            </w:pPr>
            <w:r w:rsidRPr="00656B6C">
              <w:rPr>
                <w:b/>
                <w:bCs/>
              </w:rPr>
              <w:t>Variable</w:t>
            </w:r>
          </w:p>
        </w:tc>
        <w:tc>
          <w:tcPr>
            <w:tcW w:w="2501" w:type="pct"/>
          </w:tcPr>
          <w:p w14:paraId="010F4E67" w14:textId="77777777" w:rsidR="00010983" w:rsidRPr="00656B6C" w:rsidRDefault="00010983" w:rsidP="00FD26B8">
            <w:pPr>
              <w:rPr>
                <w:b/>
                <w:bCs/>
              </w:rPr>
            </w:pPr>
            <w:r>
              <w:rPr>
                <w:b/>
                <w:bCs/>
              </w:rPr>
              <w:t>Result</w:t>
            </w:r>
          </w:p>
        </w:tc>
      </w:tr>
      <w:tr w:rsidR="00010983" w:rsidRPr="00476A12" w14:paraId="54B98783" w14:textId="77777777" w:rsidTr="00FD26B8">
        <w:trPr>
          <w:trHeight w:val="272"/>
          <w:jc w:val="center"/>
        </w:trPr>
        <w:tc>
          <w:tcPr>
            <w:tcW w:w="2499" w:type="pct"/>
            <w:noWrap/>
            <w:hideMark/>
          </w:tcPr>
          <w:p w14:paraId="75ABD3C0" w14:textId="77777777" w:rsidR="00010983" w:rsidRPr="00476A12" w:rsidRDefault="00010983" w:rsidP="00FD26B8">
            <w:r w:rsidRPr="00476A12">
              <w:t>LR</w:t>
            </w:r>
          </w:p>
        </w:tc>
        <w:tc>
          <w:tcPr>
            <w:tcW w:w="2501" w:type="pct"/>
          </w:tcPr>
          <w:p w14:paraId="5BE75520" w14:textId="77777777" w:rsidR="00010983" w:rsidRPr="00476A12" w:rsidRDefault="00010983" w:rsidP="00FD26B8">
            <w:r>
              <w:t>Do Not Reject</w:t>
            </w:r>
          </w:p>
        </w:tc>
      </w:tr>
      <w:tr w:rsidR="00010983" w:rsidRPr="00476A12" w14:paraId="051B36D8" w14:textId="77777777" w:rsidTr="00FD26B8">
        <w:trPr>
          <w:trHeight w:val="272"/>
          <w:jc w:val="center"/>
        </w:trPr>
        <w:tc>
          <w:tcPr>
            <w:tcW w:w="2499" w:type="pct"/>
            <w:noWrap/>
            <w:hideMark/>
          </w:tcPr>
          <w:p w14:paraId="6C909317" w14:textId="77777777" w:rsidR="00010983" w:rsidRPr="00476A12" w:rsidRDefault="00010983" w:rsidP="00FD26B8">
            <w:r w:rsidRPr="00476A12">
              <w:t>DA</w:t>
            </w:r>
          </w:p>
        </w:tc>
        <w:tc>
          <w:tcPr>
            <w:tcW w:w="2501" w:type="pct"/>
          </w:tcPr>
          <w:p w14:paraId="0167C5C8" w14:textId="77777777" w:rsidR="00010983" w:rsidRPr="00476A12" w:rsidRDefault="00010983" w:rsidP="00FD26B8">
            <w:r>
              <w:t>Do Not Reject</w:t>
            </w:r>
          </w:p>
        </w:tc>
      </w:tr>
      <w:tr w:rsidR="00010983" w:rsidRPr="00476A12" w14:paraId="1F2CBA64" w14:textId="77777777" w:rsidTr="00FD26B8">
        <w:trPr>
          <w:trHeight w:val="272"/>
          <w:jc w:val="center"/>
        </w:trPr>
        <w:tc>
          <w:tcPr>
            <w:tcW w:w="2499" w:type="pct"/>
            <w:noWrap/>
            <w:hideMark/>
          </w:tcPr>
          <w:p w14:paraId="00139DE4" w14:textId="77777777" w:rsidR="00010983" w:rsidRPr="00476A12" w:rsidRDefault="00010983" w:rsidP="00FD26B8">
            <w:r w:rsidRPr="00476A12">
              <w:t>CR</w:t>
            </w:r>
          </w:p>
        </w:tc>
        <w:tc>
          <w:tcPr>
            <w:tcW w:w="2501" w:type="pct"/>
          </w:tcPr>
          <w:p w14:paraId="0B9CF341" w14:textId="77777777" w:rsidR="00010983" w:rsidRPr="00476A12" w:rsidRDefault="00010983" w:rsidP="00FD26B8">
            <w:r>
              <w:t>Reject</w:t>
            </w:r>
          </w:p>
        </w:tc>
      </w:tr>
      <w:tr w:rsidR="00010983" w:rsidRPr="00476A12" w14:paraId="08C5C93F" w14:textId="77777777" w:rsidTr="00FD26B8">
        <w:trPr>
          <w:trHeight w:val="272"/>
          <w:jc w:val="center"/>
        </w:trPr>
        <w:tc>
          <w:tcPr>
            <w:tcW w:w="2499" w:type="pct"/>
            <w:noWrap/>
            <w:hideMark/>
          </w:tcPr>
          <w:p w14:paraId="11F75FB6" w14:textId="77777777" w:rsidR="00010983" w:rsidRPr="00476A12" w:rsidRDefault="00010983" w:rsidP="00FD26B8">
            <w:r w:rsidRPr="00476A12">
              <w:t>CAR</w:t>
            </w:r>
          </w:p>
        </w:tc>
        <w:tc>
          <w:tcPr>
            <w:tcW w:w="2501" w:type="pct"/>
          </w:tcPr>
          <w:p w14:paraId="5A1F95E1" w14:textId="77777777" w:rsidR="00010983" w:rsidRPr="00476A12" w:rsidRDefault="00010983" w:rsidP="00FD26B8">
            <w:r>
              <w:t>Do Not Reject</w:t>
            </w:r>
          </w:p>
        </w:tc>
      </w:tr>
      <w:tr w:rsidR="00010983" w:rsidRPr="00476A12" w14:paraId="0412E8E3" w14:textId="77777777" w:rsidTr="00FD26B8">
        <w:trPr>
          <w:trHeight w:val="272"/>
          <w:jc w:val="center"/>
        </w:trPr>
        <w:tc>
          <w:tcPr>
            <w:tcW w:w="2499" w:type="pct"/>
            <w:noWrap/>
            <w:hideMark/>
          </w:tcPr>
          <w:p w14:paraId="26C63248" w14:textId="77777777" w:rsidR="00010983" w:rsidRPr="00476A12" w:rsidRDefault="00010983" w:rsidP="00FD26B8">
            <w:r w:rsidRPr="00476A12">
              <w:t>ROE</w:t>
            </w:r>
          </w:p>
        </w:tc>
        <w:tc>
          <w:tcPr>
            <w:tcW w:w="2501" w:type="pct"/>
          </w:tcPr>
          <w:p w14:paraId="1C83B712" w14:textId="77777777" w:rsidR="00010983" w:rsidRPr="00476A12" w:rsidRDefault="00010983" w:rsidP="00FD26B8">
            <w:r>
              <w:t>Reject</w:t>
            </w:r>
          </w:p>
        </w:tc>
      </w:tr>
      <w:tr w:rsidR="00010983" w:rsidRPr="00476A12" w14:paraId="2AEFA5F8" w14:textId="77777777" w:rsidTr="00FD26B8">
        <w:trPr>
          <w:trHeight w:val="272"/>
          <w:jc w:val="center"/>
        </w:trPr>
        <w:tc>
          <w:tcPr>
            <w:tcW w:w="2499" w:type="pct"/>
            <w:noWrap/>
            <w:hideMark/>
          </w:tcPr>
          <w:p w14:paraId="647CFA8B" w14:textId="77777777" w:rsidR="00010983" w:rsidRPr="00476A12" w:rsidRDefault="00010983" w:rsidP="00FD26B8">
            <w:r w:rsidRPr="00476A12">
              <w:t>BS</w:t>
            </w:r>
          </w:p>
        </w:tc>
        <w:tc>
          <w:tcPr>
            <w:tcW w:w="2501" w:type="pct"/>
          </w:tcPr>
          <w:p w14:paraId="29A49B89" w14:textId="77777777" w:rsidR="00010983" w:rsidRPr="00476A12" w:rsidRDefault="00010983" w:rsidP="00FD26B8">
            <w:r>
              <w:t>Do Not Reject</w:t>
            </w:r>
          </w:p>
        </w:tc>
      </w:tr>
    </w:tbl>
    <w:p w14:paraId="46BEF4B5" w14:textId="77777777" w:rsidR="00010983" w:rsidRDefault="00010983" w:rsidP="00010983">
      <w:pPr>
        <w:pStyle w:val="ListParagraph"/>
      </w:pPr>
    </w:p>
    <w:p w14:paraId="26BEA6E3" w14:textId="46266ABC" w:rsidR="00010983" w:rsidRDefault="00286CF8" w:rsidP="00010983">
      <w:r w:rsidRPr="00286CF8">
        <w:fldChar w:fldCharType="begin"/>
      </w:r>
      <w:r w:rsidRPr="00286CF8">
        <w:instrText xml:space="preserve"> REF _Ref48672608 \h </w:instrText>
      </w:r>
      <w:r>
        <w:instrText xml:space="preserve"> \* MERGEFORMAT </w:instrText>
      </w:r>
      <w:r w:rsidRPr="00286CF8">
        <w:fldChar w:fldCharType="separate"/>
      </w:r>
      <w:r w:rsidRPr="00286CF8">
        <w:t>Table 5</w:t>
      </w:r>
      <w:r w:rsidRPr="00286CF8">
        <w:fldChar w:fldCharType="end"/>
      </w:r>
      <w:r w:rsidR="00010983" w:rsidRPr="00286CF8">
        <w:t xml:space="preserve"> shows the differences between the conventional banks’ measures and their Islamic</w:t>
      </w:r>
      <w:r w:rsidR="00010983">
        <w:t xml:space="preserve"> counterparty are statistically equally for most the variables (LR, DA, CAR, BS) except for cash ratio (CR) and return on equity (ROE)</w:t>
      </w:r>
      <w:r w:rsidR="004B18D5">
        <w:t>. This gives an indication of possible differences in risk management between the two</w:t>
      </w:r>
      <w:r w:rsidR="00F550AF">
        <w:t xml:space="preserve"> groups of banks</w:t>
      </w:r>
      <w:r w:rsidR="004B18D5">
        <w:t xml:space="preserve">. </w:t>
      </w:r>
    </w:p>
    <w:p w14:paraId="7B1511DA" w14:textId="77777777" w:rsidR="00010983" w:rsidRPr="00F241CA" w:rsidRDefault="00010983" w:rsidP="0076605D">
      <w:pPr>
        <w:pStyle w:val="Heading4"/>
      </w:pPr>
      <w:bookmarkStart w:id="21" w:name="_Toc48682027"/>
      <w:r w:rsidRPr="00F241CA">
        <w:t>Correlation Table</w:t>
      </w:r>
      <w:r>
        <w:t>s</w:t>
      </w:r>
      <w:bookmarkEnd w:id="21"/>
      <w:r w:rsidRPr="00F241CA">
        <w:t xml:space="preserve"> </w:t>
      </w:r>
    </w:p>
    <w:p w14:paraId="725ACBA8" w14:textId="3CED5C5E" w:rsidR="00010983" w:rsidRDefault="00010983" w:rsidP="00286CF8">
      <w:r>
        <w:t xml:space="preserve">The pairwise correlation among the conventional banks’ variables are illustrated in </w:t>
      </w:r>
      <w:r w:rsidR="00286CF8" w:rsidRPr="00286CF8">
        <w:fldChar w:fldCharType="begin"/>
      </w:r>
      <w:r w:rsidR="00286CF8" w:rsidRPr="00286CF8">
        <w:instrText xml:space="preserve"> REF _Ref48674228 \h  \* MERGEFORMAT </w:instrText>
      </w:r>
      <w:r w:rsidR="00286CF8" w:rsidRPr="00286CF8">
        <w:fldChar w:fldCharType="separate"/>
      </w:r>
      <w:r w:rsidR="00286CF8" w:rsidRPr="00286CF8">
        <w:t>Table 6</w:t>
      </w:r>
      <w:r w:rsidR="00286CF8" w:rsidRPr="00286CF8">
        <w:fldChar w:fldCharType="end"/>
      </w:r>
      <w:r w:rsidR="00286CF8">
        <w:rPr>
          <w:rFonts w:hint="cs"/>
          <w:rtl/>
        </w:rPr>
        <w:t>.</w:t>
      </w:r>
    </w:p>
    <w:p w14:paraId="2043E8CA" w14:textId="1E6A97B4" w:rsidR="00010983" w:rsidRPr="00D34F88" w:rsidRDefault="00010983" w:rsidP="00010983">
      <w:pPr>
        <w:pStyle w:val="Caption"/>
        <w:spacing w:after="0"/>
        <w:rPr>
          <w:b/>
          <w:bCs/>
          <w:i w:val="0"/>
          <w:iCs w:val="0"/>
          <w:color w:val="auto"/>
          <w:sz w:val="24"/>
          <w:szCs w:val="24"/>
        </w:rPr>
      </w:pPr>
      <w:bookmarkStart w:id="22" w:name="_Ref48674228"/>
      <w:bookmarkStart w:id="23" w:name="_Toc48684283"/>
      <w:r w:rsidRPr="00D34F88">
        <w:rPr>
          <w:b/>
          <w:bCs/>
          <w:i w:val="0"/>
          <w:iCs w:val="0"/>
          <w:color w:val="auto"/>
          <w:sz w:val="24"/>
          <w:szCs w:val="24"/>
        </w:rPr>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6</w:t>
      </w:r>
      <w:r w:rsidR="009E67C3">
        <w:rPr>
          <w:b/>
          <w:bCs/>
          <w:i w:val="0"/>
          <w:iCs w:val="0"/>
          <w:color w:val="auto"/>
          <w:sz w:val="24"/>
          <w:szCs w:val="24"/>
        </w:rPr>
        <w:fldChar w:fldCharType="end"/>
      </w:r>
      <w:bookmarkEnd w:id="22"/>
      <w:r w:rsidRPr="00D34F88">
        <w:rPr>
          <w:b/>
          <w:bCs/>
          <w:i w:val="0"/>
          <w:iCs w:val="0"/>
          <w:color w:val="auto"/>
          <w:sz w:val="24"/>
          <w:szCs w:val="24"/>
        </w:rPr>
        <w:t>: Correlation Matrix – Conventional Banks</w:t>
      </w:r>
      <w:bookmarkEnd w:id="23"/>
    </w:p>
    <w:tbl>
      <w:tblPr>
        <w:tblW w:w="0" w:type="auto"/>
        <w:tblLayout w:type="fixed"/>
        <w:tblLook w:val="0000" w:firstRow="0" w:lastRow="0" w:firstColumn="0" w:lastColumn="0" w:noHBand="0" w:noVBand="0"/>
      </w:tblPr>
      <w:tblGrid>
        <w:gridCol w:w="1208"/>
        <w:gridCol w:w="1220"/>
        <w:gridCol w:w="1220"/>
        <w:gridCol w:w="1220"/>
        <w:gridCol w:w="1220"/>
        <w:gridCol w:w="1220"/>
        <w:gridCol w:w="1220"/>
      </w:tblGrid>
      <w:tr w:rsidR="00010983" w:rsidRPr="00D34F88" w14:paraId="5DF30F9F" w14:textId="77777777" w:rsidTr="00FD26B8">
        <w:tc>
          <w:tcPr>
            <w:tcW w:w="1208" w:type="dxa"/>
            <w:tcBorders>
              <w:top w:val="single" w:sz="4" w:space="0" w:color="auto"/>
              <w:left w:val="nil"/>
              <w:bottom w:val="single" w:sz="10" w:space="0" w:color="auto"/>
              <w:right w:val="nil"/>
            </w:tcBorders>
          </w:tcPr>
          <w:p w14:paraId="6846517E" w14:textId="77777777" w:rsidR="00010983" w:rsidRPr="00D34F88" w:rsidRDefault="00010983" w:rsidP="00FD26B8">
            <w:pPr>
              <w:widowControl w:val="0"/>
              <w:autoSpaceDE w:val="0"/>
              <w:autoSpaceDN w:val="0"/>
              <w:adjustRightInd w:val="0"/>
              <w:spacing w:after="0" w:line="240" w:lineRule="auto"/>
              <w:rPr>
                <w:rFonts w:cs="Times New Roman"/>
                <w:szCs w:val="24"/>
              </w:rPr>
            </w:pPr>
            <w:r w:rsidRPr="00D34F88">
              <w:rPr>
                <w:rFonts w:cs="Times New Roman"/>
                <w:szCs w:val="24"/>
              </w:rPr>
              <w:t xml:space="preserve">  </w:t>
            </w:r>
            <w:r w:rsidRPr="00D34F88">
              <w:rPr>
                <w:rFonts w:cs="Times New Roman"/>
                <w:szCs w:val="24"/>
              </w:rPr>
              <w:lastRenderedPageBreak/>
              <w:t>Variables</w:t>
            </w:r>
          </w:p>
        </w:tc>
        <w:tc>
          <w:tcPr>
            <w:tcW w:w="1220" w:type="dxa"/>
            <w:tcBorders>
              <w:top w:val="single" w:sz="4" w:space="0" w:color="auto"/>
              <w:left w:val="nil"/>
              <w:bottom w:val="single" w:sz="10" w:space="0" w:color="auto"/>
              <w:right w:val="nil"/>
            </w:tcBorders>
          </w:tcPr>
          <w:p w14:paraId="6CB12CE2"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lastRenderedPageBreak/>
              <w:t xml:space="preserve">  (1)</w:t>
            </w:r>
          </w:p>
        </w:tc>
        <w:tc>
          <w:tcPr>
            <w:tcW w:w="1220" w:type="dxa"/>
            <w:tcBorders>
              <w:top w:val="single" w:sz="4" w:space="0" w:color="auto"/>
              <w:left w:val="nil"/>
              <w:bottom w:val="single" w:sz="10" w:space="0" w:color="auto"/>
              <w:right w:val="nil"/>
            </w:tcBorders>
          </w:tcPr>
          <w:p w14:paraId="6413B955"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 xml:space="preserve">  (2)</w:t>
            </w:r>
          </w:p>
        </w:tc>
        <w:tc>
          <w:tcPr>
            <w:tcW w:w="1220" w:type="dxa"/>
            <w:tcBorders>
              <w:top w:val="single" w:sz="4" w:space="0" w:color="auto"/>
              <w:left w:val="nil"/>
              <w:bottom w:val="single" w:sz="10" w:space="0" w:color="auto"/>
              <w:right w:val="nil"/>
            </w:tcBorders>
          </w:tcPr>
          <w:p w14:paraId="63B9ECFC"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 xml:space="preserve">  (3)</w:t>
            </w:r>
          </w:p>
        </w:tc>
        <w:tc>
          <w:tcPr>
            <w:tcW w:w="1220" w:type="dxa"/>
            <w:tcBorders>
              <w:top w:val="single" w:sz="4" w:space="0" w:color="auto"/>
              <w:left w:val="nil"/>
              <w:bottom w:val="single" w:sz="10" w:space="0" w:color="auto"/>
              <w:right w:val="nil"/>
            </w:tcBorders>
          </w:tcPr>
          <w:p w14:paraId="6EC56A18"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 xml:space="preserve">  (4)</w:t>
            </w:r>
          </w:p>
        </w:tc>
        <w:tc>
          <w:tcPr>
            <w:tcW w:w="1220" w:type="dxa"/>
            <w:tcBorders>
              <w:top w:val="single" w:sz="4" w:space="0" w:color="auto"/>
              <w:left w:val="nil"/>
              <w:bottom w:val="single" w:sz="10" w:space="0" w:color="auto"/>
              <w:right w:val="nil"/>
            </w:tcBorders>
          </w:tcPr>
          <w:p w14:paraId="2683FFCD"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 xml:space="preserve">  (5)</w:t>
            </w:r>
          </w:p>
        </w:tc>
        <w:tc>
          <w:tcPr>
            <w:tcW w:w="1220" w:type="dxa"/>
            <w:tcBorders>
              <w:top w:val="single" w:sz="4" w:space="0" w:color="auto"/>
              <w:left w:val="nil"/>
              <w:bottom w:val="single" w:sz="10" w:space="0" w:color="auto"/>
              <w:right w:val="nil"/>
            </w:tcBorders>
          </w:tcPr>
          <w:p w14:paraId="30F9104C"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 xml:space="preserve">  (6)</w:t>
            </w:r>
          </w:p>
        </w:tc>
      </w:tr>
      <w:tr w:rsidR="00010983" w:rsidRPr="00D34F88" w14:paraId="67DC6CB9" w14:textId="77777777" w:rsidTr="00FD26B8">
        <w:trPr>
          <w:gridAfter w:val="5"/>
          <w:wAfter w:w="6100" w:type="dxa"/>
        </w:trPr>
        <w:tc>
          <w:tcPr>
            <w:tcW w:w="1208" w:type="dxa"/>
            <w:tcBorders>
              <w:top w:val="nil"/>
              <w:left w:val="nil"/>
              <w:bottom w:val="nil"/>
              <w:right w:val="nil"/>
            </w:tcBorders>
          </w:tcPr>
          <w:p w14:paraId="50AB22B3" w14:textId="77777777" w:rsidR="00010983" w:rsidRPr="00D34F88" w:rsidRDefault="00010983" w:rsidP="00FD26B8">
            <w:pPr>
              <w:widowControl w:val="0"/>
              <w:autoSpaceDE w:val="0"/>
              <w:autoSpaceDN w:val="0"/>
              <w:adjustRightInd w:val="0"/>
              <w:spacing w:after="0" w:line="240" w:lineRule="auto"/>
              <w:rPr>
                <w:rFonts w:cs="Times New Roman"/>
                <w:szCs w:val="24"/>
              </w:rPr>
            </w:pPr>
            <w:r w:rsidRPr="00D34F88">
              <w:rPr>
                <w:rFonts w:cs="Times New Roman"/>
                <w:szCs w:val="24"/>
              </w:rPr>
              <w:t xml:space="preserve"> (1) LR</w:t>
            </w:r>
          </w:p>
        </w:tc>
        <w:tc>
          <w:tcPr>
            <w:tcW w:w="1220" w:type="dxa"/>
            <w:tcBorders>
              <w:top w:val="nil"/>
              <w:left w:val="nil"/>
              <w:bottom w:val="nil"/>
              <w:right w:val="nil"/>
            </w:tcBorders>
          </w:tcPr>
          <w:p w14:paraId="505F01FF"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1.000</w:t>
            </w:r>
          </w:p>
        </w:tc>
      </w:tr>
      <w:tr w:rsidR="00010983" w:rsidRPr="00D34F88" w14:paraId="354D5B9C" w14:textId="77777777" w:rsidTr="00FD26B8">
        <w:trPr>
          <w:gridAfter w:val="4"/>
          <w:wAfter w:w="4880" w:type="dxa"/>
        </w:trPr>
        <w:tc>
          <w:tcPr>
            <w:tcW w:w="1208" w:type="dxa"/>
            <w:tcBorders>
              <w:top w:val="nil"/>
              <w:left w:val="nil"/>
              <w:bottom w:val="nil"/>
              <w:right w:val="nil"/>
            </w:tcBorders>
          </w:tcPr>
          <w:p w14:paraId="0E43F44A" w14:textId="77777777" w:rsidR="00010983" w:rsidRPr="00D34F88" w:rsidRDefault="00010983" w:rsidP="00FD26B8">
            <w:pPr>
              <w:widowControl w:val="0"/>
              <w:autoSpaceDE w:val="0"/>
              <w:autoSpaceDN w:val="0"/>
              <w:adjustRightInd w:val="0"/>
              <w:spacing w:after="0" w:line="240" w:lineRule="auto"/>
              <w:rPr>
                <w:rFonts w:cs="Times New Roman"/>
                <w:szCs w:val="24"/>
              </w:rPr>
            </w:pPr>
            <w:r w:rsidRPr="00D34F88">
              <w:rPr>
                <w:rFonts w:cs="Times New Roman"/>
                <w:szCs w:val="24"/>
              </w:rPr>
              <w:t xml:space="preserve"> (2) DA</w:t>
            </w:r>
          </w:p>
        </w:tc>
        <w:tc>
          <w:tcPr>
            <w:tcW w:w="1220" w:type="dxa"/>
            <w:tcBorders>
              <w:top w:val="nil"/>
              <w:left w:val="nil"/>
              <w:bottom w:val="nil"/>
              <w:right w:val="nil"/>
            </w:tcBorders>
          </w:tcPr>
          <w:p w14:paraId="5FFF70C1"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0.272</w:t>
            </w:r>
          </w:p>
        </w:tc>
        <w:tc>
          <w:tcPr>
            <w:tcW w:w="1220" w:type="dxa"/>
            <w:tcBorders>
              <w:top w:val="nil"/>
              <w:left w:val="nil"/>
              <w:bottom w:val="nil"/>
              <w:right w:val="nil"/>
            </w:tcBorders>
          </w:tcPr>
          <w:p w14:paraId="65958CF4"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1.000</w:t>
            </w:r>
          </w:p>
        </w:tc>
      </w:tr>
      <w:tr w:rsidR="00010983" w:rsidRPr="00D34F88" w14:paraId="472EA662" w14:textId="77777777" w:rsidTr="00FD26B8">
        <w:trPr>
          <w:gridAfter w:val="3"/>
          <w:wAfter w:w="3660" w:type="dxa"/>
        </w:trPr>
        <w:tc>
          <w:tcPr>
            <w:tcW w:w="1208" w:type="dxa"/>
            <w:tcBorders>
              <w:top w:val="nil"/>
              <w:left w:val="nil"/>
              <w:bottom w:val="nil"/>
              <w:right w:val="nil"/>
            </w:tcBorders>
          </w:tcPr>
          <w:p w14:paraId="73C049E2" w14:textId="77777777" w:rsidR="00010983" w:rsidRPr="00D34F88" w:rsidRDefault="00010983" w:rsidP="00FD26B8">
            <w:pPr>
              <w:widowControl w:val="0"/>
              <w:autoSpaceDE w:val="0"/>
              <w:autoSpaceDN w:val="0"/>
              <w:adjustRightInd w:val="0"/>
              <w:spacing w:after="0" w:line="240" w:lineRule="auto"/>
              <w:rPr>
                <w:rFonts w:cs="Times New Roman"/>
                <w:szCs w:val="24"/>
              </w:rPr>
            </w:pPr>
            <w:r w:rsidRPr="00D34F88">
              <w:rPr>
                <w:rFonts w:cs="Times New Roman"/>
                <w:szCs w:val="24"/>
              </w:rPr>
              <w:t xml:space="preserve"> (3) CR</w:t>
            </w:r>
          </w:p>
        </w:tc>
        <w:tc>
          <w:tcPr>
            <w:tcW w:w="1220" w:type="dxa"/>
            <w:tcBorders>
              <w:top w:val="nil"/>
              <w:left w:val="nil"/>
              <w:bottom w:val="nil"/>
              <w:right w:val="nil"/>
            </w:tcBorders>
          </w:tcPr>
          <w:p w14:paraId="32DF579E"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-0.269</w:t>
            </w:r>
          </w:p>
        </w:tc>
        <w:tc>
          <w:tcPr>
            <w:tcW w:w="1220" w:type="dxa"/>
            <w:tcBorders>
              <w:top w:val="nil"/>
              <w:left w:val="nil"/>
              <w:bottom w:val="nil"/>
              <w:right w:val="nil"/>
            </w:tcBorders>
          </w:tcPr>
          <w:p w14:paraId="3D310D42"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-0.412</w:t>
            </w:r>
          </w:p>
        </w:tc>
        <w:tc>
          <w:tcPr>
            <w:tcW w:w="1220" w:type="dxa"/>
            <w:tcBorders>
              <w:top w:val="nil"/>
              <w:left w:val="nil"/>
              <w:bottom w:val="nil"/>
              <w:right w:val="nil"/>
            </w:tcBorders>
          </w:tcPr>
          <w:p w14:paraId="1DD6740C"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1.000</w:t>
            </w:r>
          </w:p>
        </w:tc>
      </w:tr>
      <w:tr w:rsidR="00010983" w:rsidRPr="00D34F88" w14:paraId="036E6D66" w14:textId="77777777" w:rsidTr="00FD26B8">
        <w:trPr>
          <w:gridAfter w:val="2"/>
          <w:wAfter w:w="2440" w:type="dxa"/>
        </w:trPr>
        <w:tc>
          <w:tcPr>
            <w:tcW w:w="1208" w:type="dxa"/>
            <w:tcBorders>
              <w:top w:val="nil"/>
              <w:left w:val="nil"/>
              <w:bottom w:val="nil"/>
              <w:right w:val="nil"/>
            </w:tcBorders>
          </w:tcPr>
          <w:p w14:paraId="63B1D604" w14:textId="77777777" w:rsidR="00010983" w:rsidRPr="00D34F88" w:rsidRDefault="00010983" w:rsidP="00FD26B8">
            <w:pPr>
              <w:widowControl w:val="0"/>
              <w:autoSpaceDE w:val="0"/>
              <w:autoSpaceDN w:val="0"/>
              <w:adjustRightInd w:val="0"/>
              <w:spacing w:after="0" w:line="240" w:lineRule="auto"/>
              <w:rPr>
                <w:rFonts w:cs="Times New Roman"/>
                <w:szCs w:val="24"/>
              </w:rPr>
            </w:pPr>
            <w:r w:rsidRPr="00D34F88">
              <w:rPr>
                <w:rFonts w:cs="Times New Roman"/>
                <w:szCs w:val="24"/>
              </w:rPr>
              <w:t xml:space="preserve"> (4) ROE</w:t>
            </w:r>
          </w:p>
        </w:tc>
        <w:tc>
          <w:tcPr>
            <w:tcW w:w="1220" w:type="dxa"/>
            <w:tcBorders>
              <w:top w:val="nil"/>
              <w:left w:val="nil"/>
              <w:bottom w:val="nil"/>
              <w:right w:val="nil"/>
            </w:tcBorders>
          </w:tcPr>
          <w:p w14:paraId="386C3E2E"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-0.223</w:t>
            </w:r>
          </w:p>
        </w:tc>
        <w:tc>
          <w:tcPr>
            <w:tcW w:w="1220" w:type="dxa"/>
            <w:tcBorders>
              <w:top w:val="nil"/>
              <w:left w:val="nil"/>
              <w:bottom w:val="nil"/>
              <w:right w:val="nil"/>
            </w:tcBorders>
          </w:tcPr>
          <w:p w14:paraId="2B9A45AD"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-0.228</w:t>
            </w:r>
          </w:p>
        </w:tc>
        <w:tc>
          <w:tcPr>
            <w:tcW w:w="1220" w:type="dxa"/>
            <w:tcBorders>
              <w:top w:val="nil"/>
              <w:left w:val="nil"/>
              <w:bottom w:val="nil"/>
              <w:right w:val="nil"/>
            </w:tcBorders>
          </w:tcPr>
          <w:p w14:paraId="586FC4F4"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0.786</w:t>
            </w:r>
          </w:p>
        </w:tc>
        <w:tc>
          <w:tcPr>
            <w:tcW w:w="1220" w:type="dxa"/>
            <w:tcBorders>
              <w:top w:val="nil"/>
              <w:left w:val="nil"/>
              <w:bottom w:val="nil"/>
              <w:right w:val="nil"/>
            </w:tcBorders>
          </w:tcPr>
          <w:p w14:paraId="52E3ACF1"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1.000</w:t>
            </w:r>
          </w:p>
        </w:tc>
      </w:tr>
      <w:tr w:rsidR="00010983" w:rsidRPr="00D34F88" w14:paraId="66FBE0A6" w14:textId="77777777" w:rsidTr="00FD26B8">
        <w:trPr>
          <w:gridAfter w:val="1"/>
          <w:wAfter w:w="1220" w:type="dxa"/>
        </w:trPr>
        <w:tc>
          <w:tcPr>
            <w:tcW w:w="1208" w:type="dxa"/>
            <w:tcBorders>
              <w:top w:val="nil"/>
              <w:left w:val="nil"/>
              <w:bottom w:val="nil"/>
              <w:right w:val="nil"/>
            </w:tcBorders>
          </w:tcPr>
          <w:p w14:paraId="3E679F59" w14:textId="77777777" w:rsidR="00010983" w:rsidRPr="00D34F88" w:rsidRDefault="00010983" w:rsidP="00FD26B8">
            <w:pPr>
              <w:widowControl w:val="0"/>
              <w:autoSpaceDE w:val="0"/>
              <w:autoSpaceDN w:val="0"/>
              <w:adjustRightInd w:val="0"/>
              <w:spacing w:after="0" w:line="240" w:lineRule="auto"/>
              <w:rPr>
                <w:rFonts w:cs="Times New Roman"/>
                <w:szCs w:val="24"/>
              </w:rPr>
            </w:pPr>
            <w:r w:rsidRPr="00D34F88">
              <w:rPr>
                <w:rFonts w:cs="Times New Roman"/>
                <w:szCs w:val="24"/>
              </w:rPr>
              <w:t xml:space="preserve"> (5) BS</w:t>
            </w:r>
          </w:p>
        </w:tc>
        <w:tc>
          <w:tcPr>
            <w:tcW w:w="1220" w:type="dxa"/>
            <w:tcBorders>
              <w:top w:val="nil"/>
              <w:left w:val="nil"/>
              <w:bottom w:val="nil"/>
              <w:right w:val="nil"/>
            </w:tcBorders>
          </w:tcPr>
          <w:p w14:paraId="2858E323"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0.305</w:t>
            </w:r>
          </w:p>
        </w:tc>
        <w:tc>
          <w:tcPr>
            <w:tcW w:w="1220" w:type="dxa"/>
            <w:tcBorders>
              <w:top w:val="nil"/>
              <w:left w:val="nil"/>
              <w:bottom w:val="nil"/>
              <w:right w:val="nil"/>
            </w:tcBorders>
          </w:tcPr>
          <w:p w14:paraId="750E8C54"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0.627</w:t>
            </w:r>
          </w:p>
        </w:tc>
        <w:tc>
          <w:tcPr>
            <w:tcW w:w="1220" w:type="dxa"/>
            <w:tcBorders>
              <w:top w:val="nil"/>
              <w:left w:val="nil"/>
              <w:bottom w:val="nil"/>
              <w:right w:val="nil"/>
            </w:tcBorders>
          </w:tcPr>
          <w:p w14:paraId="4A2A71D2"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-0.401</w:t>
            </w:r>
          </w:p>
        </w:tc>
        <w:tc>
          <w:tcPr>
            <w:tcW w:w="1220" w:type="dxa"/>
            <w:tcBorders>
              <w:top w:val="nil"/>
              <w:left w:val="nil"/>
              <w:bottom w:val="nil"/>
              <w:right w:val="nil"/>
            </w:tcBorders>
          </w:tcPr>
          <w:p w14:paraId="595D5024"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-0.086</w:t>
            </w:r>
          </w:p>
        </w:tc>
        <w:tc>
          <w:tcPr>
            <w:tcW w:w="1220" w:type="dxa"/>
            <w:tcBorders>
              <w:top w:val="nil"/>
              <w:left w:val="nil"/>
              <w:bottom w:val="nil"/>
              <w:right w:val="nil"/>
            </w:tcBorders>
          </w:tcPr>
          <w:p w14:paraId="6BD86086"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1.000</w:t>
            </w:r>
          </w:p>
        </w:tc>
      </w:tr>
      <w:tr w:rsidR="00010983" w:rsidRPr="00D34F88" w14:paraId="62C5C611" w14:textId="77777777" w:rsidTr="00FD26B8">
        <w:tc>
          <w:tcPr>
            <w:tcW w:w="1208" w:type="dxa"/>
            <w:tcBorders>
              <w:top w:val="nil"/>
              <w:left w:val="nil"/>
              <w:bottom w:val="nil"/>
              <w:right w:val="nil"/>
            </w:tcBorders>
          </w:tcPr>
          <w:p w14:paraId="67E636C4" w14:textId="77777777" w:rsidR="00010983" w:rsidRPr="00D34F88" w:rsidRDefault="00010983" w:rsidP="00FD26B8">
            <w:pPr>
              <w:widowControl w:val="0"/>
              <w:autoSpaceDE w:val="0"/>
              <w:autoSpaceDN w:val="0"/>
              <w:adjustRightInd w:val="0"/>
              <w:spacing w:after="0" w:line="240" w:lineRule="auto"/>
              <w:rPr>
                <w:rFonts w:cs="Times New Roman"/>
                <w:szCs w:val="24"/>
              </w:rPr>
            </w:pPr>
            <w:r w:rsidRPr="00D34F88">
              <w:rPr>
                <w:rFonts w:cs="Times New Roman"/>
                <w:szCs w:val="24"/>
              </w:rPr>
              <w:t xml:space="preserve"> (6) CAR</w:t>
            </w:r>
          </w:p>
        </w:tc>
        <w:tc>
          <w:tcPr>
            <w:tcW w:w="1220" w:type="dxa"/>
            <w:tcBorders>
              <w:top w:val="nil"/>
              <w:left w:val="nil"/>
              <w:bottom w:val="nil"/>
              <w:right w:val="nil"/>
            </w:tcBorders>
          </w:tcPr>
          <w:p w14:paraId="05CFDDB7"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-0.311</w:t>
            </w:r>
          </w:p>
        </w:tc>
        <w:tc>
          <w:tcPr>
            <w:tcW w:w="1220" w:type="dxa"/>
            <w:tcBorders>
              <w:top w:val="nil"/>
              <w:left w:val="nil"/>
              <w:bottom w:val="nil"/>
              <w:right w:val="nil"/>
            </w:tcBorders>
          </w:tcPr>
          <w:p w14:paraId="12796729"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-0.688</w:t>
            </w:r>
          </w:p>
        </w:tc>
        <w:tc>
          <w:tcPr>
            <w:tcW w:w="1220" w:type="dxa"/>
            <w:tcBorders>
              <w:top w:val="nil"/>
              <w:left w:val="nil"/>
              <w:bottom w:val="nil"/>
              <w:right w:val="nil"/>
            </w:tcBorders>
          </w:tcPr>
          <w:p w14:paraId="567753C7"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0.743</w:t>
            </w:r>
          </w:p>
        </w:tc>
        <w:tc>
          <w:tcPr>
            <w:tcW w:w="1220" w:type="dxa"/>
            <w:tcBorders>
              <w:top w:val="nil"/>
              <w:left w:val="nil"/>
              <w:bottom w:val="nil"/>
              <w:right w:val="nil"/>
            </w:tcBorders>
          </w:tcPr>
          <w:p w14:paraId="3AD5E8DD"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0.450</w:t>
            </w:r>
          </w:p>
        </w:tc>
        <w:tc>
          <w:tcPr>
            <w:tcW w:w="1220" w:type="dxa"/>
            <w:tcBorders>
              <w:top w:val="nil"/>
              <w:left w:val="nil"/>
              <w:bottom w:val="nil"/>
              <w:right w:val="nil"/>
            </w:tcBorders>
          </w:tcPr>
          <w:p w14:paraId="3B532B85"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-0.707</w:t>
            </w:r>
          </w:p>
        </w:tc>
        <w:tc>
          <w:tcPr>
            <w:tcW w:w="1220" w:type="dxa"/>
            <w:tcBorders>
              <w:top w:val="nil"/>
              <w:left w:val="nil"/>
              <w:bottom w:val="nil"/>
              <w:right w:val="nil"/>
            </w:tcBorders>
          </w:tcPr>
          <w:p w14:paraId="00B960DE" w14:textId="77777777" w:rsidR="00010983" w:rsidRPr="00D34F88" w:rsidRDefault="00010983" w:rsidP="00FD26B8">
            <w:pPr>
              <w:widowControl w:val="0"/>
              <w:autoSpaceDE w:val="0"/>
              <w:autoSpaceDN w:val="0"/>
              <w:adjustRightInd w:val="0"/>
              <w:spacing w:after="0" w:line="240" w:lineRule="auto"/>
              <w:jc w:val="right"/>
              <w:rPr>
                <w:rFonts w:cs="Times New Roman"/>
                <w:szCs w:val="24"/>
              </w:rPr>
            </w:pPr>
            <w:r w:rsidRPr="00D34F88">
              <w:rPr>
                <w:rFonts w:cs="Times New Roman"/>
                <w:szCs w:val="24"/>
              </w:rPr>
              <w:t>1.000</w:t>
            </w:r>
          </w:p>
        </w:tc>
      </w:tr>
      <w:tr w:rsidR="00010983" w:rsidRPr="00D34F88" w14:paraId="035139D1" w14:textId="77777777" w:rsidTr="00FD26B8">
        <w:tc>
          <w:tcPr>
            <w:tcW w:w="8528" w:type="dxa"/>
            <w:gridSpan w:val="7"/>
            <w:tcBorders>
              <w:top w:val="single" w:sz="6" w:space="0" w:color="auto"/>
              <w:left w:val="nil"/>
              <w:bottom w:val="nil"/>
              <w:right w:val="nil"/>
            </w:tcBorders>
          </w:tcPr>
          <w:p w14:paraId="584C5477" w14:textId="77777777" w:rsidR="00010983" w:rsidRPr="00D34F88" w:rsidRDefault="00010983" w:rsidP="00FD26B8">
            <w:pPr>
              <w:widowControl w:val="0"/>
              <w:autoSpaceDE w:val="0"/>
              <w:autoSpaceDN w:val="0"/>
              <w:adjustRightInd w:val="0"/>
              <w:spacing w:after="0" w:line="240" w:lineRule="auto"/>
              <w:rPr>
                <w:rFonts w:cs="Times New Roman"/>
                <w:szCs w:val="24"/>
              </w:rPr>
            </w:pPr>
          </w:p>
        </w:tc>
      </w:tr>
    </w:tbl>
    <w:p w14:paraId="5E23BF92" w14:textId="77777777" w:rsidR="00010983" w:rsidRDefault="00010983" w:rsidP="00010983">
      <w:r w:rsidRPr="00D34F88">
        <w:t>It is evident that the correlation between most independent variables is high</w:t>
      </w:r>
      <w:r>
        <w:t xml:space="preserve"> with the maximum correlation is between ROE and cash ratio (78%). This raises the issue of multicollinearity in the statistical analysis that needs to be checked for and corrected for. </w:t>
      </w:r>
    </w:p>
    <w:p w14:paraId="1C792A2C" w14:textId="78EFC3DC" w:rsidR="00010983" w:rsidRPr="004B7A16" w:rsidRDefault="00010983" w:rsidP="00286CF8">
      <w:r w:rsidRPr="004B7A16">
        <w:t>The correlation matrix of the Islamic Banks variables is illustrated in</w:t>
      </w:r>
      <w:r w:rsidR="00286CF8">
        <w:rPr>
          <w:rFonts w:hint="cs"/>
          <w:rtl/>
        </w:rPr>
        <w:t xml:space="preserve"> </w:t>
      </w:r>
      <w:r w:rsidR="00286CF8" w:rsidRPr="00286CF8">
        <w:fldChar w:fldCharType="begin"/>
      </w:r>
      <w:r w:rsidR="00286CF8" w:rsidRPr="00286CF8">
        <w:instrText xml:space="preserve"> REF _Ref48674963 \h  \* MERGEFORMAT </w:instrText>
      </w:r>
      <w:r w:rsidR="00286CF8" w:rsidRPr="00286CF8">
        <w:fldChar w:fldCharType="separate"/>
      </w:r>
      <w:r w:rsidR="00286CF8" w:rsidRPr="00286CF8">
        <w:t>Table 7</w:t>
      </w:r>
      <w:r w:rsidR="00286CF8" w:rsidRPr="00286CF8">
        <w:fldChar w:fldCharType="end"/>
      </w:r>
      <w:r w:rsidRPr="00286CF8">
        <w:t>.</w:t>
      </w:r>
    </w:p>
    <w:p w14:paraId="6F539433" w14:textId="00958530" w:rsidR="00010983" w:rsidRPr="00355532" w:rsidRDefault="00010983" w:rsidP="00010983">
      <w:pPr>
        <w:pStyle w:val="Caption"/>
        <w:spacing w:after="0"/>
        <w:rPr>
          <w:b/>
          <w:bCs/>
          <w:i w:val="0"/>
          <w:iCs w:val="0"/>
          <w:color w:val="auto"/>
          <w:sz w:val="24"/>
          <w:szCs w:val="24"/>
        </w:rPr>
      </w:pPr>
      <w:bookmarkStart w:id="24" w:name="_Ref48674963"/>
      <w:bookmarkStart w:id="25" w:name="_Toc48684284"/>
      <w:r w:rsidRPr="00355532">
        <w:rPr>
          <w:b/>
          <w:bCs/>
          <w:i w:val="0"/>
          <w:iCs w:val="0"/>
          <w:color w:val="auto"/>
          <w:sz w:val="24"/>
          <w:szCs w:val="24"/>
        </w:rPr>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7</w:t>
      </w:r>
      <w:r w:rsidR="009E67C3">
        <w:rPr>
          <w:b/>
          <w:bCs/>
          <w:i w:val="0"/>
          <w:iCs w:val="0"/>
          <w:color w:val="auto"/>
          <w:sz w:val="24"/>
          <w:szCs w:val="24"/>
        </w:rPr>
        <w:fldChar w:fldCharType="end"/>
      </w:r>
      <w:bookmarkEnd w:id="24"/>
      <w:r w:rsidRPr="00355532">
        <w:rPr>
          <w:b/>
          <w:bCs/>
          <w:i w:val="0"/>
          <w:iCs w:val="0"/>
          <w:color w:val="auto"/>
          <w:sz w:val="24"/>
          <w:szCs w:val="24"/>
        </w:rPr>
        <w:t xml:space="preserve">: </w:t>
      </w:r>
      <w:r w:rsidRPr="00D34F88">
        <w:rPr>
          <w:b/>
          <w:bCs/>
          <w:i w:val="0"/>
          <w:iCs w:val="0"/>
          <w:color w:val="auto"/>
          <w:sz w:val="24"/>
          <w:szCs w:val="24"/>
        </w:rPr>
        <w:t xml:space="preserve">Correlation Matrix – </w:t>
      </w:r>
      <w:r>
        <w:rPr>
          <w:b/>
          <w:bCs/>
          <w:i w:val="0"/>
          <w:iCs w:val="0"/>
          <w:color w:val="auto"/>
          <w:sz w:val="24"/>
          <w:szCs w:val="24"/>
        </w:rPr>
        <w:t xml:space="preserve">Islamic </w:t>
      </w:r>
      <w:r w:rsidRPr="00D34F88">
        <w:rPr>
          <w:b/>
          <w:bCs/>
          <w:i w:val="0"/>
          <w:iCs w:val="0"/>
          <w:color w:val="auto"/>
          <w:sz w:val="24"/>
          <w:szCs w:val="24"/>
        </w:rPr>
        <w:t>Banks</w:t>
      </w:r>
      <w:bookmarkEnd w:id="25"/>
    </w:p>
    <w:tbl>
      <w:tblPr>
        <w:tblW w:w="0" w:type="auto"/>
        <w:tblLayout w:type="fixed"/>
        <w:tblLook w:val="0000" w:firstRow="0" w:lastRow="0" w:firstColumn="0" w:lastColumn="0" w:noHBand="0" w:noVBand="0"/>
      </w:tblPr>
      <w:tblGrid>
        <w:gridCol w:w="1208"/>
        <w:gridCol w:w="1220"/>
        <w:gridCol w:w="1220"/>
        <w:gridCol w:w="1220"/>
        <w:gridCol w:w="1220"/>
        <w:gridCol w:w="1220"/>
        <w:gridCol w:w="1220"/>
      </w:tblGrid>
      <w:tr w:rsidR="00010983" w:rsidRPr="00752422" w14:paraId="304DC23D" w14:textId="77777777" w:rsidTr="00FD26B8">
        <w:tc>
          <w:tcPr>
            <w:tcW w:w="1208" w:type="dxa"/>
            <w:tcBorders>
              <w:top w:val="single" w:sz="4" w:space="0" w:color="auto"/>
              <w:left w:val="nil"/>
              <w:bottom w:val="single" w:sz="10" w:space="0" w:color="auto"/>
              <w:right w:val="nil"/>
            </w:tcBorders>
          </w:tcPr>
          <w:p w14:paraId="74696DE6" w14:textId="77777777" w:rsidR="00010983" w:rsidRPr="00752422" w:rsidRDefault="00010983" w:rsidP="00FD26B8">
            <w:pPr>
              <w:widowControl w:val="0"/>
              <w:autoSpaceDE w:val="0"/>
              <w:autoSpaceDN w:val="0"/>
              <w:adjustRightInd w:val="0"/>
              <w:spacing w:after="0" w:line="240" w:lineRule="auto"/>
              <w:rPr>
                <w:rFonts w:cs="Times New Roman"/>
                <w:szCs w:val="24"/>
              </w:rPr>
            </w:pPr>
            <w:r w:rsidRPr="00752422">
              <w:rPr>
                <w:rFonts w:cs="Times New Roman"/>
                <w:szCs w:val="24"/>
              </w:rPr>
              <w:t xml:space="preserve">  Variables</w:t>
            </w:r>
          </w:p>
        </w:tc>
        <w:tc>
          <w:tcPr>
            <w:tcW w:w="1220" w:type="dxa"/>
            <w:tcBorders>
              <w:top w:val="single" w:sz="4" w:space="0" w:color="auto"/>
              <w:left w:val="nil"/>
              <w:bottom w:val="single" w:sz="10" w:space="0" w:color="auto"/>
              <w:right w:val="nil"/>
            </w:tcBorders>
          </w:tcPr>
          <w:p w14:paraId="0BA9F6AF"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 xml:space="preserve">  (1)</w:t>
            </w:r>
          </w:p>
        </w:tc>
        <w:tc>
          <w:tcPr>
            <w:tcW w:w="1220" w:type="dxa"/>
            <w:tcBorders>
              <w:top w:val="single" w:sz="4" w:space="0" w:color="auto"/>
              <w:left w:val="nil"/>
              <w:bottom w:val="single" w:sz="10" w:space="0" w:color="auto"/>
              <w:right w:val="nil"/>
            </w:tcBorders>
          </w:tcPr>
          <w:p w14:paraId="1269613B"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 xml:space="preserve">  (2)</w:t>
            </w:r>
          </w:p>
        </w:tc>
        <w:tc>
          <w:tcPr>
            <w:tcW w:w="1220" w:type="dxa"/>
            <w:tcBorders>
              <w:top w:val="single" w:sz="4" w:space="0" w:color="auto"/>
              <w:left w:val="nil"/>
              <w:bottom w:val="single" w:sz="10" w:space="0" w:color="auto"/>
              <w:right w:val="nil"/>
            </w:tcBorders>
          </w:tcPr>
          <w:p w14:paraId="6FC3DD1D"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 xml:space="preserve">  (3)</w:t>
            </w:r>
          </w:p>
        </w:tc>
        <w:tc>
          <w:tcPr>
            <w:tcW w:w="1220" w:type="dxa"/>
            <w:tcBorders>
              <w:top w:val="single" w:sz="4" w:space="0" w:color="auto"/>
              <w:left w:val="nil"/>
              <w:bottom w:val="single" w:sz="10" w:space="0" w:color="auto"/>
              <w:right w:val="nil"/>
            </w:tcBorders>
          </w:tcPr>
          <w:p w14:paraId="480682B8"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 xml:space="preserve">  (4)</w:t>
            </w:r>
          </w:p>
        </w:tc>
        <w:tc>
          <w:tcPr>
            <w:tcW w:w="1220" w:type="dxa"/>
            <w:tcBorders>
              <w:top w:val="single" w:sz="4" w:space="0" w:color="auto"/>
              <w:left w:val="nil"/>
              <w:bottom w:val="single" w:sz="10" w:space="0" w:color="auto"/>
              <w:right w:val="nil"/>
            </w:tcBorders>
          </w:tcPr>
          <w:p w14:paraId="3CD196F3"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 xml:space="preserve">  (5)</w:t>
            </w:r>
          </w:p>
        </w:tc>
        <w:tc>
          <w:tcPr>
            <w:tcW w:w="1220" w:type="dxa"/>
            <w:tcBorders>
              <w:top w:val="single" w:sz="4" w:space="0" w:color="auto"/>
              <w:left w:val="nil"/>
              <w:bottom w:val="single" w:sz="10" w:space="0" w:color="auto"/>
              <w:right w:val="nil"/>
            </w:tcBorders>
          </w:tcPr>
          <w:p w14:paraId="4F98B467"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 xml:space="preserve">  (6)</w:t>
            </w:r>
          </w:p>
        </w:tc>
      </w:tr>
      <w:tr w:rsidR="00010983" w:rsidRPr="00752422" w14:paraId="77EAE6A9" w14:textId="77777777" w:rsidTr="00FD26B8">
        <w:trPr>
          <w:gridAfter w:val="5"/>
          <w:wAfter w:w="6100" w:type="dxa"/>
        </w:trPr>
        <w:tc>
          <w:tcPr>
            <w:tcW w:w="1208" w:type="dxa"/>
            <w:tcBorders>
              <w:top w:val="nil"/>
              <w:left w:val="nil"/>
              <w:bottom w:val="nil"/>
              <w:right w:val="nil"/>
            </w:tcBorders>
          </w:tcPr>
          <w:p w14:paraId="32216A70" w14:textId="77777777" w:rsidR="00010983" w:rsidRPr="00752422" w:rsidRDefault="00010983" w:rsidP="00FD26B8">
            <w:pPr>
              <w:widowControl w:val="0"/>
              <w:autoSpaceDE w:val="0"/>
              <w:autoSpaceDN w:val="0"/>
              <w:adjustRightInd w:val="0"/>
              <w:spacing w:after="0" w:line="240" w:lineRule="auto"/>
              <w:rPr>
                <w:rFonts w:cs="Times New Roman"/>
                <w:szCs w:val="24"/>
              </w:rPr>
            </w:pPr>
            <w:r w:rsidRPr="00752422">
              <w:rPr>
                <w:rFonts w:cs="Times New Roman"/>
                <w:szCs w:val="24"/>
              </w:rPr>
              <w:t xml:space="preserve"> (1) LR</w:t>
            </w:r>
          </w:p>
        </w:tc>
        <w:tc>
          <w:tcPr>
            <w:tcW w:w="1220" w:type="dxa"/>
            <w:tcBorders>
              <w:top w:val="nil"/>
              <w:left w:val="nil"/>
              <w:bottom w:val="nil"/>
              <w:right w:val="nil"/>
            </w:tcBorders>
          </w:tcPr>
          <w:p w14:paraId="46FD2114"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1.000</w:t>
            </w:r>
          </w:p>
        </w:tc>
      </w:tr>
      <w:tr w:rsidR="00010983" w:rsidRPr="00752422" w14:paraId="03324E2F" w14:textId="77777777" w:rsidTr="00FD26B8">
        <w:trPr>
          <w:gridAfter w:val="4"/>
          <w:wAfter w:w="4880" w:type="dxa"/>
        </w:trPr>
        <w:tc>
          <w:tcPr>
            <w:tcW w:w="1208" w:type="dxa"/>
            <w:tcBorders>
              <w:top w:val="nil"/>
              <w:left w:val="nil"/>
              <w:bottom w:val="nil"/>
              <w:right w:val="nil"/>
            </w:tcBorders>
          </w:tcPr>
          <w:p w14:paraId="099FDEE7" w14:textId="77777777" w:rsidR="00010983" w:rsidRPr="00752422" w:rsidRDefault="00010983" w:rsidP="00FD26B8">
            <w:pPr>
              <w:widowControl w:val="0"/>
              <w:autoSpaceDE w:val="0"/>
              <w:autoSpaceDN w:val="0"/>
              <w:adjustRightInd w:val="0"/>
              <w:spacing w:after="0" w:line="240" w:lineRule="auto"/>
              <w:rPr>
                <w:rFonts w:cs="Times New Roman"/>
                <w:szCs w:val="24"/>
              </w:rPr>
            </w:pPr>
            <w:r w:rsidRPr="00752422">
              <w:rPr>
                <w:rFonts w:cs="Times New Roman"/>
                <w:szCs w:val="24"/>
              </w:rPr>
              <w:t xml:space="preserve"> (2) DA</w:t>
            </w:r>
          </w:p>
        </w:tc>
        <w:tc>
          <w:tcPr>
            <w:tcW w:w="1220" w:type="dxa"/>
            <w:tcBorders>
              <w:top w:val="nil"/>
              <w:left w:val="nil"/>
              <w:bottom w:val="nil"/>
              <w:right w:val="nil"/>
            </w:tcBorders>
          </w:tcPr>
          <w:p w14:paraId="553700FC"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0.750</w:t>
            </w:r>
          </w:p>
        </w:tc>
        <w:tc>
          <w:tcPr>
            <w:tcW w:w="1220" w:type="dxa"/>
            <w:tcBorders>
              <w:top w:val="nil"/>
              <w:left w:val="nil"/>
              <w:bottom w:val="nil"/>
              <w:right w:val="nil"/>
            </w:tcBorders>
          </w:tcPr>
          <w:p w14:paraId="3A2D9ECF"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1.000</w:t>
            </w:r>
          </w:p>
        </w:tc>
      </w:tr>
      <w:tr w:rsidR="00010983" w:rsidRPr="00752422" w14:paraId="73921647" w14:textId="77777777" w:rsidTr="00FD26B8">
        <w:trPr>
          <w:gridAfter w:val="3"/>
          <w:wAfter w:w="3660" w:type="dxa"/>
        </w:trPr>
        <w:tc>
          <w:tcPr>
            <w:tcW w:w="1208" w:type="dxa"/>
            <w:tcBorders>
              <w:top w:val="nil"/>
              <w:left w:val="nil"/>
              <w:bottom w:val="nil"/>
              <w:right w:val="nil"/>
            </w:tcBorders>
          </w:tcPr>
          <w:p w14:paraId="3BEE1287" w14:textId="77777777" w:rsidR="00010983" w:rsidRPr="00752422" w:rsidRDefault="00010983" w:rsidP="00FD26B8">
            <w:pPr>
              <w:widowControl w:val="0"/>
              <w:autoSpaceDE w:val="0"/>
              <w:autoSpaceDN w:val="0"/>
              <w:adjustRightInd w:val="0"/>
              <w:spacing w:after="0" w:line="240" w:lineRule="auto"/>
              <w:rPr>
                <w:rFonts w:cs="Times New Roman"/>
                <w:szCs w:val="24"/>
              </w:rPr>
            </w:pPr>
            <w:r w:rsidRPr="00752422">
              <w:rPr>
                <w:rFonts w:cs="Times New Roman"/>
                <w:szCs w:val="24"/>
              </w:rPr>
              <w:t xml:space="preserve"> (3) CR</w:t>
            </w:r>
          </w:p>
        </w:tc>
        <w:tc>
          <w:tcPr>
            <w:tcW w:w="1220" w:type="dxa"/>
            <w:tcBorders>
              <w:top w:val="nil"/>
              <w:left w:val="nil"/>
              <w:bottom w:val="nil"/>
              <w:right w:val="nil"/>
            </w:tcBorders>
          </w:tcPr>
          <w:p w14:paraId="37499A64"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0.123</w:t>
            </w:r>
          </w:p>
        </w:tc>
        <w:tc>
          <w:tcPr>
            <w:tcW w:w="1220" w:type="dxa"/>
            <w:tcBorders>
              <w:top w:val="nil"/>
              <w:left w:val="nil"/>
              <w:bottom w:val="nil"/>
              <w:right w:val="nil"/>
            </w:tcBorders>
          </w:tcPr>
          <w:p w14:paraId="1DB4B48A"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0.455</w:t>
            </w:r>
          </w:p>
        </w:tc>
        <w:tc>
          <w:tcPr>
            <w:tcW w:w="1220" w:type="dxa"/>
            <w:tcBorders>
              <w:top w:val="nil"/>
              <w:left w:val="nil"/>
              <w:bottom w:val="nil"/>
              <w:right w:val="nil"/>
            </w:tcBorders>
          </w:tcPr>
          <w:p w14:paraId="387ECD2D"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1.000</w:t>
            </w:r>
          </w:p>
        </w:tc>
      </w:tr>
      <w:tr w:rsidR="00010983" w:rsidRPr="00752422" w14:paraId="6C4F5157" w14:textId="77777777" w:rsidTr="00FD26B8">
        <w:trPr>
          <w:gridAfter w:val="2"/>
          <w:wAfter w:w="2440" w:type="dxa"/>
        </w:trPr>
        <w:tc>
          <w:tcPr>
            <w:tcW w:w="1208" w:type="dxa"/>
            <w:tcBorders>
              <w:top w:val="nil"/>
              <w:left w:val="nil"/>
              <w:bottom w:val="nil"/>
              <w:right w:val="nil"/>
            </w:tcBorders>
          </w:tcPr>
          <w:p w14:paraId="466DA751" w14:textId="77777777" w:rsidR="00010983" w:rsidRPr="00752422" w:rsidRDefault="00010983" w:rsidP="00FD26B8">
            <w:pPr>
              <w:widowControl w:val="0"/>
              <w:autoSpaceDE w:val="0"/>
              <w:autoSpaceDN w:val="0"/>
              <w:adjustRightInd w:val="0"/>
              <w:spacing w:after="0" w:line="240" w:lineRule="auto"/>
              <w:rPr>
                <w:rFonts w:cs="Times New Roman"/>
                <w:szCs w:val="24"/>
              </w:rPr>
            </w:pPr>
            <w:r w:rsidRPr="00752422">
              <w:rPr>
                <w:rFonts w:cs="Times New Roman"/>
                <w:szCs w:val="24"/>
              </w:rPr>
              <w:t xml:space="preserve"> (4) ROE</w:t>
            </w:r>
          </w:p>
        </w:tc>
        <w:tc>
          <w:tcPr>
            <w:tcW w:w="1220" w:type="dxa"/>
            <w:tcBorders>
              <w:top w:val="nil"/>
              <w:left w:val="nil"/>
              <w:bottom w:val="nil"/>
              <w:right w:val="nil"/>
            </w:tcBorders>
          </w:tcPr>
          <w:p w14:paraId="77B89C46"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0.586</w:t>
            </w:r>
          </w:p>
        </w:tc>
        <w:tc>
          <w:tcPr>
            <w:tcW w:w="1220" w:type="dxa"/>
            <w:tcBorders>
              <w:top w:val="nil"/>
              <w:left w:val="nil"/>
              <w:bottom w:val="nil"/>
              <w:right w:val="nil"/>
            </w:tcBorders>
          </w:tcPr>
          <w:p w14:paraId="00501F12"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0.621</w:t>
            </w:r>
          </w:p>
        </w:tc>
        <w:tc>
          <w:tcPr>
            <w:tcW w:w="1220" w:type="dxa"/>
            <w:tcBorders>
              <w:top w:val="nil"/>
              <w:left w:val="nil"/>
              <w:bottom w:val="nil"/>
              <w:right w:val="nil"/>
            </w:tcBorders>
          </w:tcPr>
          <w:p w14:paraId="1CC4AFE9"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0.076</w:t>
            </w:r>
          </w:p>
        </w:tc>
        <w:tc>
          <w:tcPr>
            <w:tcW w:w="1220" w:type="dxa"/>
            <w:tcBorders>
              <w:top w:val="nil"/>
              <w:left w:val="nil"/>
              <w:bottom w:val="nil"/>
              <w:right w:val="nil"/>
            </w:tcBorders>
          </w:tcPr>
          <w:p w14:paraId="409D443B"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1.000</w:t>
            </w:r>
          </w:p>
        </w:tc>
      </w:tr>
      <w:tr w:rsidR="00010983" w:rsidRPr="00752422" w14:paraId="176A689B" w14:textId="77777777" w:rsidTr="00FD26B8">
        <w:trPr>
          <w:gridAfter w:val="1"/>
          <w:wAfter w:w="1220" w:type="dxa"/>
        </w:trPr>
        <w:tc>
          <w:tcPr>
            <w:tcW w:w="1208" w:type="dxa"/>
            <w:tcBorders>
              <w:top w:val="nil"/>
              <w:left w:val="nil"/>
              <w:bottom w:val="nil"/>
              <w:right w:val="nil"/>
            </w:tcBorders>
          </w:tcPr>
          <w:p w14:paraId="39F06281" w14:textId="77777777" w:rsidR="00010983" w:rsidRPr="00752422" w:rsidRDefault="00010983" w:rsidP="00FD26B8">
            <w:pPr>
              <w:widowControl w:val="0"/>
              <w:autoSpaceDE w:val="0"/>
              <w:autoSpaceDN w:val="0"/>
              <w:adjustRightInd w:val="0"/>
              <w:spacing w:after="0" w:line="240" w:lineRule="auto"/>
              <w:rPr>
                <w:rFonts w:cs="Times New Roman"/>
                <w:szCs w:val="24"/>
              </w:rPr>
            </w:pPr>
            <w:r w:rsidRPr="00752422">
              <w:rPr>
                <w:rFonts w:cs="Times New Roman"/>
                <w:szCs w:val="24"/>
              </w:rPr>
              <w:t xml:space="preserve"> (5) BS</w:t>
            </w:r>
          </w:p>
        </w:tc>
        <w:tc>
          <w:tcPr>
            <w:tcW w:w="1220" w:type="dxa"/>
            <w:tcBorders>
              <w:top w:val="nil"/>
              <w:left w:val="nil"/>
              <w:bottom w:val="nil"/>
              <w:right w:val="nil"/>
            </w:tcBorders>
          </w:tcPr>
          <w:p w14:paraId="55FFB7EB"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0.803</w:t>
            </w:r>
          </w:p>
        </w:tc>
        <w:tc>
          <w:tcPr>
            <w:tcW w:w="1220" w:type="dxa"/>
            <w:tcBorders>
              <w:top w:val="nil"/>
              <w:left w:val="nil"/>
              <w:bottom w:val="nil"/>
              <w:right w:val="nil"/>
            </w:tcBorders>
          </w:tcPr>
          <w:p w14:paraId="4E3F9008"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0.823</w:t>
            </w:r>
          </w:p>
        </w:tc>
        <w:tc>
          <w:tcPr>
            <w:tcW w:w="1220" w:type="dxa"/>
            <w:tcBorders>
              <w:top w:val="nil"/>
              <w:left w:val="nil"/>
              <w:bottom w:val="nil"/>
              <w:right w:val="nil"/>
            </w:tcBorders>
          </w:tcPr>
          <w:p w14:paraId="77855EB1"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0.115</w:t>
            </w:r>
          </w:p>
        </w:tc>
        <w:tc>
          <w:tcPr>
            <w:tcW w:w="1220" w:type="dxa"/>
            <w:tcBorders>
              <w:top w:val="nil"/>
              <w:left w:val="nil"/>
              <w:bottom w:val="nil"/>
              <w:right w:val="nil"/>
            </w:tcBorders>
          </w:tcPr>
          <w:p w14:paraId="528E99B2"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0.816</w:t>
            </w:r>
          </w:p>
        </w:tc>
        <w:tc>
          <w:tcPr>
            <w:tcW w:w="1220" w:type="dxa"/>
            <w:tcBorders>
              <w:top w:val="nil"/>
              <w:left w:val="nil"/>
              <w:bottom w:val="nil"/>
              <w:right w:val="nil"/>
            </w:tcBorders>
          </w:tcPr>
          <w:p w14:paraId="43AB22FF"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1.000</w:t>
            </w:r>
          </w:p>
        </w:tc>
      </w:tr>
      <w:tr w:rsidR="00010983" w:rsidRPr="00752422" w14:paraId="5B263A47" w14:textId="77777777" w:rsidTr="00FD26B8">
        <w:tc>
          <w:tcPr>
            <w:tcW w:w="1208" w:type="dxa"/>
            <w:tcBorders>
              <w:top w:val="nil"/>
              <w:left w:val="nil"/>
              <w:bottom w:val="nil"/>
              <w:right w:val="nil"/>
            </w:tcBorders>
          </w:tcPr>
          <w:p w14:paraId="683BBF39" w14:textId="77777777" w:rsidR="00010983" w:rsidRPr="00752422" w:rsidRDefault="00010983" w:rsidP="00FD26B8">
            <w:pPr>
              <w:widowControl w:val="0"/>
              <w:autoSpaceDE w:val="0"/>
              <w:autoSpaceDN w:val="0"/>
              <w:adjustRightInd w:val="0"/>
              <w:spacing w:after="0" w:line="240" w:lineRule="auto"/>
              <w:rPr>
                <w:rFonts w:cs="Times New Roman"/>
                <w:szCs w:val="24"/>
              </w:rPr>
            </w:pPr>
            <w:r w:rsidRPr="00752422">
              <w:rPr>
                <w:rFonts w:cs="Times New Roman"/>
                <w:szCs w:val="24"/>
              </w:rPr>
              <w:t xml:space="preserve"> (6) CAR</w:t>
            </w:r>
          </w:p>
        </w:tc>
        <w:tc>
          <w:tcPr>
            <w:tcW w:w="1220" w:type="dxa"/>
            <w:tcBorders>
              <w:top w:val="nil"/>
              <w:left w:val="nil"/>
              <w:bottom w:val="nil"/>
              <w:right w:val="nil"/>
            </w:tcBorders>
          </w:tcPr>
          <w:p w14:paraId="5723E165"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-0.793</w:t>
            </w:r>
          </w:p>
        </w:tc>
        <w:tc>
          <w:tcPr>
            <w:tcW w:w="1220" w:type="dxa"/>
            <w:tcBorders>
              <w:top w:val="nil"/>
              <w:left w:val="nil"/>
              <w:bottom w:val="nil"/>
              <w:right w:val="nil"/>
            </w:tcBorders>
          </w:tcPr>
          <w:p w14:paraId="168ACAEB"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-0.983</w:t>
            </w:r>
          </w:p>
        </w:tc>
        <w:tc>
          <w:tcPr>
            <w:tcW w:w="1220" w:type="dxa"/>
            <w:tcBorders>
              <w:top w:val="nil"/>
              <w:left w:val="nil"/>
              <w:bottom w:val="nil"/>
              <w:right w:val="nil"/>
            </w:tcBorders>
          </w:tcPr>
          <w:p w14:paraId="65974A13"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-0.333</w:t>
            </w:r>
          </w:p>
        </w:tc>
        <w:tc>
          <w:tcPr>
            <w:tcW w:w="1220" w:type="dxa"/>
            <w:tcBorders>
              <w:top w:val="nil"/>
              <w:left w:val="nil"/>
              <w:bottom w:val="nil"/>
              <w:right w:val="nil"/>
            </w:tcBorders>
          </w:tcPr>
          <w:p w14:paraId="78019749"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-0.622</w:t>
            </w:r>
          </w:p>
        </w:tc>
        <w:tc>
          <w:tcPr>
            <w:tcW w:w="1220" w:type="dxa"/>
            <w:tcBorders>
              <w:top w:val="nil"/>
              <w:left w:val="nil"/>
              <w:bottom w:val="nil"/>
              <w:right w:val="nil"/>
            </w:tcBorders>
          </w:tcPr>
          <w:p w14:paraId="7015CA4C"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-0.841</w:t>
            </w:r>
          </w:p>
        </w:tc>
        <w:tc>
          <w:tcPr>
            <w:tcW w:w="1220" w:type="dxa"/>
            <w:tcBorders>
              <w:top w:val="nil"/>
              <w:left w:val="nil"/>
              <w:bottom w:val="nil"/>
              <w:right w:val="nil"/>
            </w:tcBorders>
          </w:tcPr>
          <w:p w14:paraId="0EFEAC57" w14:textId="77777777" w:rsidR="00010983" w:rsidRPr="00752422" w:rsidRDefault="00010983" w:rsidP="00FD26B8">
            <w:pPr>
              <w:widowControl w:val="0"/>
              <w:autoSpaceDE w:val="0"/>
              <w:autoSpaceDN w:val="0"/>
              <w:adjustRightInd w:val="0"/>
              <w:spacing w:after="0" w:line="240" w:lineRule="auto"/>
              <w:jc w:val="right"/>
              <w:rPr>
                <w:rFonts w:cs="Times New Roman"/>
                <w:szCs w:val="24"/>
              </w:rPr>
            </w:pPr>
            <w:r w:rsidRPr="00752422">
              <w:rPr>
                <w:rFonts w:cs="Times New Roman"/>
                <w:szCs w:val="24"/>
              </w:rPr>
              <w:t>1.000</w:t>
            </w:r>
          </w:p>
        </w:tc>
      </w:tr>
      <w:tr w:rsidR="00010983" w:rsidRPr="00752422" w14:paraId="3798C441" w14:textId="77777777" w:rsidTr="00FD26B8">
        <w:tc>
          <w:tcPr>
            <w:tcW w:w="8528" w:type="dxa"/>
            <w:gridSpan w:val="7"/>
            <w:tcBorders>
              <w:top w:val="single" w:sz="6" w:space="0" w:color="auto"/>
              <w:left w:val="nil"/>
              <w:bottom w:val="nil"/>
              <w:right w:val="nil"/>
            </w:tcBorders>
          </w:tcPr>
          <w:p w14:paraId="6496AA3B" w14:textId="77777777" w:rsidR="00010983" w:rsidRDefault="00010983" w:rsidP="00FD26B8">
            <w:pPr>
              <w:widowControl w:val="0"/>
              <w:autoSpaceDE w:val="0"/>
              <w:autoSpaceDN w:val="0"/>
              <w:adjustRightInd w:val="0"/>
              <w:spacing w:after="0" w:line="240" w:lineRule="auto"/>
              <w:rPr>
                <w:rFonts w:cs="Times New Roman"/>
                <w:szCs w:val="24"/>
              </w:rPr>
            </w:pPr>
          </w:p>
          <w:p w14:paraId="030D7D9E" w14:textId="77777777" w:rsidR="00010983" w:rsidRPr="00752422" w:rsidRDefault="00010983" w:rsidP="00FD26B8">
            <w:pPr>
              <w:widowControl w:val="0"/>
              <w:autoSpaceDE w:val="0"/>
              <w:autoSpaceDN w:val="0"/>
              <w:adjustRightInd w:val="0"/>
              <w:spacing w:after="0" w:line="240" w:lineRule="auto"/>
              <w:rPr>
                <w:rFonts w:cs="Times New Roman"/>
                <w:szCs w:val="24"/>
              </w:rPr>
            </w:pPr>
          </w:p>
        </w:tc>
      </w:tr>
    </w:tbl>
    <w:p w14:paraId="7AADD1BF" w14:textId="77777777" w:rsidR="00010983" w:rsidRDefault="00010983" w:rsidP="00010983">
      <w:r>
        <w:t>The correlation coefficient between the study variables show high correlation coefficients for the almost all the variables related to Islamic Banks, especially the correlation between deposits to assets and Capital adequacy ratio (-98%).</w:t>
      </w:r>
    </w:p>
    <w:p w14:paraId="79547EF3" w14:textId="77777777" w:rsidR="00010983" w:rsidRDefault="00010983" w:rsidP="0076605D">
      <w:pPr>
        <w:pStyle w:val="Heading4"/>
      </w:pPr>
      <w:bookmarkStart w:id="26" w:name="_Toc48682028"/>
      <w:r>
        <w:t>Quantitative Model Estimation</w:t>
      </w:r>
      <w:bookmarkEnd w:id="26"/>
    </w:p>
    <w:p w14:paraId="39972624" w14:textId="5DFAF98F" w:rsidR="00010983" w:rsidRDefault="00010983" w:rsidP="00010983">
      <w:r>
        <w:t xml:space="preserve">The estimation of the two models has been accomplished using panel data regression. The results of the random effect and fixed effect models are summarized in the tables below. The details of </w:t>
      </w:r>
      <w:r w:rsidRPr="00F002B8">
        <w:t xml:space="preserve">Stata printout are included in appendix </w:t>
      </w:r>
      <w:r w:rsidR="00F002B8" w:rsidRPr="00F002B8">
        <w:t>2.</w:t>
      </w:r>
      <w:r>
        <w:t xml:space="preserve"> </w:t>
      </w:r>
    </w:p>
    <w:p w14:paraId="769F0246" w14:textId="77777777" w:rsidR="00010983" w:rsidRDefault="00010983" w:rsidP="002B430C">
      <w:pPr>
        <w:pStyle w:val="Heading3"/>
      </w:pPr>
      <w:bookmarkStart w:id="27" w:name="_Toc48682029"/>
      <w:r>
        <w:t>Fixed Effect and Random Effect Models</w:t>
      </w:r>
      <w:bookmarkEnd w:id="27"/>
      <w:r>
        <w:t xml:space="preserve"> </w:t>
      </w:r>
    </w:p>
    <w:p w14:paraId="4D273768" w14:textId="30B4ADBC" w:rsidR="00010983" w:rsidRPr="004D5B4B" w:rsidRDefault="00010983" w:rsidP="00010983">
      <w:r w:rsidRPr="004D5B4B">
        <w:t xml:space="preserve">The results of estimating the fixed effect and random effect model of the Islamic and conventional banks are presented </w:t>
      </w:r>
      <w:r>
        <w:t xml:space="preserve">in </w:t>
      </w:r>
      <w:r w:rsidR="009D1AD5" w:rsidRPr="009D1AD5">
        <w:fldChar w:fldCharType="begin"/>
      </w:r>
      <w:r w:rsidR="009D1AD5" w:rsidRPr="009D1AD5">
        <w:instrText xml:space="preserve"> REF _Ref48675745 \h  \* MERGEFORMAT </w:instrText>
      </w:r>
      <w:r w:rsidR="009D1AD5" w:rsidRPr="009D1AD5">
        <w:fldChar w:fldCharType="separate"/>
      </w:r>
      <w:r w:rsidR="009D1AD5" w:rsidRPr="009D1AD5">
        <w:rPr>
          <w:szCs w:val="24"/>
        </w:rPr>
        <w:t xml:space="preserve">Table </w:t>
      </w:r>
      <w:r w:rsidR="009D1AD5" w:rsidRPr="009D1AD5">
        <w:rPr>
          <w:noProof/>
          <w:szCs w:val="24"/>
        </w:rPr>
        <w:t>8</w:t>
      </w:r>
      <w:r w:rsidR="009D1AD5" w:rsidRPr="009D1AD5">
        <w:fldChar w:fldCharType="end"/>
      </w:r>
      <w:r w:rsidRPr="009D1AD5">
        <w:t>.</w:t>
      </w:r>
    </w:p>
    <w:p w14:paraId="748573E9" w14:textId="77777777" w:rsidR="00010983" w:rsidRDefault="00010983" w:rsidP="00010983">
      <w:pPr>
        <w:pStyle w:val="Caption"/>
        <w:spacing w:after="0"/>
        <w:rPr>
          <w:b/>
          <w:bCs/>
          <w:i w:val="0"/>
          <w:iCs w:val="0"/>
          <w:color w:val="auto"/>
          <w:sz w:val="24"/>
          <w:szCs w:val="24"/>
        </w:rPr>
      </w:pPr>
    </w:p>
    <w:p w14:paraId="3EBC9766" w14:textId="4436C4E1" w:rsidR="00010983" w:rsidRPr="00437982" w:rsidRDefault="00010983" w:rsidP="00010983">
      <w:pPr>
        <w:pStyle w:val="Caption"/>
        <w:spacing w:after="0"/>
        <w:rPr>
          <w:b/>
          <w:bCs/>
          <w:i w:val="0"/>
          <w:iCs w:val="0"/>
          <w:color w:val="auto"/>
          <w:sz w:val="24"/>
          <w:szCs w:val="24"/>
        </w:rPr>
      </w:pPr>
      <w:bookmarkStart w:id="28" w:name="_Ref48675745"/>
      <w:bookmarkStart w:id="29" w:name="_Toc48684285"/>
      <w:r w:rsidRPr="00437982">
        <w:rPr>
          <w:b/>
          <w:bCs/>
          <w:i w:val="0"/>
          <w:iCs w:val="0"/>
          <w:color w:val="auto"/>
          <w:sz w:val="24"/>
          <w:szCs w:val="24"/>
        </w:rPr>
        <w:lastRenderedPageBreak/>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8</w:t>
      </w:r>
      <w:r w:rsidR="009E67C3">
        <w:rPr>
          <w:b/>
          <w:bCs/>
          <w:i w:val="0"/>
          <w:iCs w:val="0"/>
          <w:color w:val="auto"/>
          <w:sz w:val="24"/>
          <w:szCs w:val="24"/>
        </w:rPr>
        <w:fldChar w:fldCharType="end"/>
      </w:r>
      <w:bookmarkEnd w:id="28"/>
      <w:r w:rsidRPr="00437982">
        <w:rPr>
          <w:b/>
          <w:bCs/>
          <w:i w:val="0"/>
          <w:iCs w:val="0"/>
          <w:color w:val="auto"/>
          <w:sz w:val="24"/>
          <w:szCs w:val="24"/>
        </w:rPr>
        <w:t>: Fixed Effect and Random Effect Estimation – Conventional Banks and Islamic Banks</w:t>
      </w:r>
      <w:bookmarkEnd w:id="29"/>
    </w:p>
    <w:tbl>
      <w:tblPr>
        <w:tblStyle w:val="TableGrid"/>
        <w:tblW w:w="0" w:type="auto"/>
        <w:tblLook w:val="04A0" w:firstRow="1" w:lastRow="0" w:firstColumn="1" w:lastColumn="0" w:noHBand="0" w:noVBand="1"/>
      </w:tblPr>
      <w:tblGrid>
        <w:gridCol w:w="1203"/>
        <w:gridCol w:w="1583"/>
        <w:gridCol w:w="1890"/>
        <w:gridCol w:w="449"/>
        <w:gridCol w:w="1710"/>
        <w:gridCol w:w="1800"/>
      </w:tblGrid>
      <w:tr w:rsidR="00010983" w:rsidRPr="00475CF8" w14:paraId="376563AA" w14:textId="77777777" w:rsidTr="00FD26B8">
        <w:trPr>
          <w:trHeight w:val="315"/>
        </w:trPr>
        <w:tc>
          <w:tcPr>
            <w:tcW w:w="1203" w:type="dxa"/>
            <w:noWrap/>
            <w:hideMark/>
          </w:tcPr>
          <w:p w14:paraId="6408F14E" w14:textId="77777777" w:rsidR="00010983" w:rsidRPr="00475CF8" w:rsidRDefault="00010983" w:rsidP="00FD26B8">
            <w:pPr>
              <w:rPr>
                <w:szCs w:val="24"/>
              </w:rPr>
            </w:pPr>
            <w:r w:rsidRPr="00475CF8">
              <w:rPr>
                <w:szCs w:val="24"/>
              </w:rPr>
              <w:t> </w:t>
            </w:r>
          </w:p>
        </w:tc>
        <w:tc>
          <w:tcPr>
            <w:tcW w:w="3473" w:type="dxa"/>
            <w:gridSpan w:val="2"/>
            <w:noWrap/>
            <w:hideMark/>
          </w:tcPr>
          <w:p w14:paraId="461E2197" w14:textId="77777777" w:rsidR="00010983" w:rsidRPr="00475CF8" w:rsidRDefault="00010983" w:rsidP="00FD26B8">
            <w:pPr>
              <w:jc w:val="center"/>
              <w:rPr>
                <w:b/>
                <w:bCs/>
                <w:szCs w:val="24"/>
              </w:rPr>
            </w:pPr>
            <w:r w:rsidRPr="00475CF8">
              <w:rPr>
                <w:b/>
                <w:bCs/>
                <w:szCs w:val="24"/>
              </w:rPr>
              <w:t>Conventional Banks</w:t>
            </w:r>
          </w:p>
        </w:tc>
        <w:tc>
          <w:tcPr>
            <w:tcW w:w="449" w:type="dxa"/>
            <w:tcBorders>
              <w:top w:val="nil"/>
              <w:bottom w:val="nil"/>
            </w:tcBorders>
            <w:noWrap/>
            <w:hideMark/>
          </w:tcPr>
          <w:p w14:paraId="0CFB790C" w14:textId="77777777" w:rsidR="00010983" w:rsidRPr="00475CF8" w:rsidRDefault="00010983" w:rsidP="00FD26B8">
            <w:pPr>
              <w:jc w:val="center"/>
              <w:rPr>
                <w:b/>
                <w:bCs/>
                <w:szCs w:val="24"/>
              </w:rPr>
            </w:pPr>
          </w:p>
        </w:tc>
        <w:tc>
          <w:tcPr>
            <w:tcW w:w="3510" w:type="dxa"/>
            <w:gridSpan w:val="2"/>
            <w:noWrap/>
            <w:hideMark/>
          </w:tcPr>
          <w:p w14:paraId="265F7703" w14:textId="77777777" w:rsidR="00010983" w:rsidRPr="00475CF8" w:rsidRDefault="00010983" w:rsidP="00FD26B8">
            <w:pPr>
              <w:jc w:val="center"/>
              <w:rPr>
                <w:b/>
                <w:bCs/>
                <w:szCs w:val="24"/>
              </w:rPr>
            </w:pPr>
            <w:r w:rsidRPr="00475CF8">
              <w:rPr>
                <w:b/>
                <w:bCs/>
                <w:szCs w:val="24"/>
              </w:rPr>
              <w:t>Islamic Banks</w:t>
            </w:r>
          </w:p>
        </w:tc>
      </w:tr>
      <w:tr w:rsidR="00010983" w:rsidRPr="00475CF8" w14:paraId="659996E3" w14:textId="77777777" w:rsidTr="00FD26B8">
        <w:trPr>
          <w:trHeight w:val="315"/>
        </w:trPr>
        <w:tc>
          <w:tcPr>
            <w:tcW w:w="1203" w:type="dxa"/>
            <w:noWrap/>
            <w:hideMark/>
          </w:tcPr>
          <w:p w14:paraId="47AD45BA" w14:textId="77777777" w:rsidR="00010983" w:rsidRPr="00475CF8" w:rsidRDefault="00010983" w:rsidP="00FD26B8">
            <w:pPr>
              <w:rPr>
                <w:b/>
                <w:bCs/>
                <w:szCs w:val="24"/>
              </w:rPr>
            </w:pPr>
            <w:r w:rsidRPr="00475CF8">
              <w:rPr>
                <w:b/>
                <w:bCs/>
                <w:szCs w:val="24"/>
              </w:rPr>
              <w:t>Variables</w:t>
            </w:r>
          </w:p>
        </w:tc>
        <w:tc>
          <w:tcPr>
            <w:tcW w:w="1583" w:type="dxa"/>
            <w:noWrap/>
            <w:hideMark/>
          </w:tcPr>
          <w:p w14:paraId="5D58C9A9" w14:textId="77777777" w:rsidR="00010983" w:rsidRPr="00475CF8" w:rsidRDefault="00010983" w:rsidP="00FD26B8">
            <w:pPr>
              <w:rPr>
                <w:b/>
                <w:bCs/>
                <w:szCs w:val="24"/>
              </w:rPr>
            </w:pPr>
            <w:r w:rsidRPr="00475CF8">
              <w:rPr>
                <w:b/>
                <w:bCs/>
                <w:szCs w:val="24"/>
              </w:rPr>
              <w:t>Fixed Effect</w:t>
            </w:r>
          </w:p>
        </w:tc>
        <w:tc>
          <w:tcPr>
            <w:tcW w:w="1890" w:type="dxa"/>
            <w:noWrap/>
            <w:hideMark/>
          </w:tcPr>
          <w:p w14:paraId="323D311C" w14:textId="77777777" w:rsidR="00010983" w:rsidRPr="00475CF8" w:rsidRDefault="00010983" w:rsidP="00FD26B8">
            <w:pPr>
              <w:rPr>
                <w:b/>
                <w:bCs/>
                <w:szCs w:val="24"/>
              </w:rPr>
            </w:pPr>
            <w:r w:rsidRPr="00475CF8">
              <w:rPr>
                <w:b/>
                <w:bCs/>
                <w:szCs w:val="24"/>
              </w:rPr>
              <w:t>Random Effect</w:t>
            </w:r>
          </w:p>
        </w:tc>
        <w:tc>
          <w:tcPr>
            <w:tcW w:w="449" w:type="dxa"/>
            <w:tcBorders>
              <w:top w:val="nil"/>
              <w:bottom w:val="nil"/>
            </w:tcBorders>
            <w:noWrap/>
            <w:hideMark/>
          </w:tcPr>
          <w:p w14:paraId="7091DB68" w14:textId="77777777" w:rsidR="00010983" w:rsidRPr="00475CF8" w:rsidRDefault="00010983" w:rsidP="00FD26B8">
            <w:pPr>
              <w:rPr>
                <w:b/>
                <w:bCs/>
                <w:szCs w:val="24"/>
              </w:rPr>
            </w:pPr>
            <w:r w:rsidRPr="00475CF8">
              <w:rPr>
                <w:b/>
                <w:bCs/>
                <w:szCs w:val="24"/>
              </w:rPr>
              <w:t> </w:t>
            </w:r>
          </w:p>
        </w:tc>
        <w:tc>
          <w:tcPr>
            <w:tcW w:w="1710" w:type="dxa"/>
            <w:noWrap/>
            <w:hideMark/>
          </w:tcPr>
          <w:p w14:paraId="269B15A0" w14:textId="77777777" w:rsidR="00010983" w:rsidRPr="00475CF8" w:rsidRDefault="00010983" w:rsidP="00FD26B8">
            <w:pPr>
              <w:rPr>
                <w:b/>
                <w:bCs/>
                <w:szCs w:val="24"/>
              </w:rPr>
            </w:pPr>
            <w:r w:rsidRPr="00475CF8">
              <w:rPr>
                <w:b/>
                <w:bCs/>
                <w:szCs w:val="24"/>
              </w:rPr>
              <w:t>Fixed Effect</w:t>
            </w:r>
          </w:p>
        </w:tc>
        <w:tc>
          <w:tcPr>
            <w:tcW w:w="1800" w:type="dxa"/>
            <w:noWrap/>
            <w:hideMark/>
          </w:tcPr>
          <w:p w14:paraId="269963E2" w14:textId="77777777" w:rsidR="00010983" w:rsidRPr="00475CF8" w:rsidRDefault="00010983" w:rsidP="00FD26B8">
            <w:pPr>
              <w:rPr>
                <w:b/>
                <w:bCs/>
                <w:szCs w:val="24"/>
              </w:rPr>
            </w:pPr>
            <w:r w:rsidRPr="00475CF8">
              <w:rPr>
                <w:b/>
                <w:bCs/>
                <w:szCs w:val="24"/>
              </w:rPr>
              <w:t>Random Effect</w:t>
            </w:r>
          </w:p>
        </w:tc>
      </w:tr>
      <w:tr w:rsidR="00010983" w:rsidRPr="00475CF8" w14:paraId="0F6011DD" w14:textId="77777777" w:rsidTr="00FD26B8">
        <w:trPr>
          <w:trHeight w:val="315"/>
        </w:trPr>
        <w:tc>
          <w:tcPr>
            <w:tcW w:w="1203" w:type="dxa"/>
            <w:noWrap/>
            <w:hideMark/>
          </w:tcPr>
          <w:p w14:paraId="503E6EBC" w14:textId="77777777" w:rsidR="00010983" w:rsidRPr="00475CF8" w:rsidRDefault="00010983" w:rsidP="00FD26B8">
            <w:pPr>
              <w:rPr>
                <w:szCs w:val="24"/>
              </w:rPr>
            </w:pPr>
            <w:r w:rsidRPr="00475CF8">
              <w:rPr>
                <w:szCs w:val="24"/>
              </w:rPr>
              <w:t>DA</w:t>
            </w:r>
          </w:p>
        </w:tc>
        <w:tc>
          <w:tcPr>
            <w:tcW w:w="1583" w:type="dxa"/>
            <w:noWrap/>
            <w:hideMark/>
          </w:tcPr>
          <w:p w14:paraId="062B0E33" w14:textId="77777777" w:rsidR="00010983" w:rsidRPr="00844F5B" w:rsidRDefault="00010983" w:rsidP="00FD26B8">
            <w:pPr>
              <w:jc w:val="center"/>
              <w:rPr>
                <w:szCs w:val="24"/>
              </w:rPr>
            </w:pPr>
            <w:r w:rsidRPr="00844F5B">
              <w:rPr>
                <w:rFonts w:cs="Times New Roman"/>
                <w:szCs w:val="24"/>
              </w:rPr>
              <w:t>-4.663</w:t>
            </w:r>
          </w:p>
        </w:tc>
        <w:tc>
          <w:tcPr>
            <w:tcW w:w="1890" w:type="dxa"/>
            <w:noWrap/>
            <w:hideMark/>
          </w:tcPr>
          <w:p w14:paraId="3CCC5D38" w14:textId="77777777" w:rsidR="00010983" w:rsidRPr="00844F5B" w:rsidRDefault="00010983" w:rsidP="00FD26B8">
            <w:pPr>
              <w:jc w:val="center"/>
              <w:rPr>
                <w:szCs w:val="24"/>
              </w:rPr>
            </w:pPr>
            <w:r w:rsidRPr="00844F5B">
              <w:rPr>
                <w:rFonts w:cs="Times New Roman"/>
                <w:szCs w:val="24"/>
              </w:rPr>
              <w:t>-5.407</w:t>
            </w:r>
          </w:p>
        </w:tc>
        <w:tc>
          <w:tcPr>
            <w:tcW w:w="449" w:type="dxa"/>
            <w:tcBorders>
              <w:top w:val="nil"/>
              <w:bottom w:val="nil"/>
            </w:tcBorders>
            <w:noWrap/>
            <w:hideMark/>
          </w:tcPr>
          <w:p w14:paraId="07210B02" w14:textId="77777777" w:rsidR="00010983" w:rsidRPr="00475CF8" w:rsidRDefault="00010983" w:rsidP="00FD26B8">
            <w:pPr>
              <w:jc w:val="center"/>
              <w:rPr>
                <w:szCs w:val="24"/>
              </w:rPr>
            </w:pPr>
          </w:p>
        </w:tc>
        <w:tc>
          <w:tcPr>
            <w:tcW w:w="1710" w:type="dxa"/>
            <w:noWrap/>
            <w:hideMark/>
          </w:tcPr>
          <w:p w14:paraId="19B00127" w14:textId="77777777" w:rsidR="00010983" w:rsidRPr="001F4F43" w:rsidRDefault="00010983" w:rsidP="00FD26B8">
            <w:pPr>
              <w:jc w:val="center"/>
              <w:rPr>
                <w:szCs w:val="24"/>
              </w:rPr>
            </w:pPr>
            <w:r w:rsidRPr="001F4F43">
              <w:rPr>
                <w:rFonts w:cs="Times New Roman"/>
                <w:szCs w:val="24"/>
              </w:rPr>
              <w:t>.463</w:t>
            </w:r>
          </w:p>
        </w:tc>
        <w:tc>
          <w:tcPr>
            <w:tcW w:w="1800" w:type="dxa"/>
            <w:noWrap/>
            <w:hideMark/>
          </w:tcPr>
          <w:p w14:paraId="1028FC34" w14:textId="77777777" w:rsidR="00010983" w:rsidRPr="001F4F43" w:rsidRDefault="00010983" w:rsidP="00FD26B8">
            <w:pPr>
              <w:jc w:val="center"/>
              <w:rPr>
                <w:szCs w:val="24"/>
              </w:rPr>
            </w:pPr>
            <w:r w:rsidRPr="001F4F43">
              <w:rPr>
                <w:rFonts w:cs="Times New Roman"/>
                <w:szCs w:val="24"/>
              </w:rPr>
              <w:t>.501</w:t>
            </w:r>
          </w:p>
        </w:tc>
      </w:tr>
      <w:tr w:rsidR="00010983" w:rsidRPr="00475CF8" w14:paraId="5910BCFF" w14:textId="77777777" w:rsidTr="00FD26B8">
        <w:trPr>
          <w:trHeight w:val="315"/>
        </w:trPr>
        <w:tc>
          <w:tcPr>
            <w:tcW w:w="1203" w:type="dxa"/>
            <w:noWrap/>
            <w:hideMark/>
          </w:tcPr>
          <w:p w14:paraId="7399FCE3" w14:textId="77777777" w:rsidR="00010983" w:rsidRPr="00475CF8" w:rsidRDefault="00010983" w:rsidP="00FD26B8">
            <w:pPr>
              <w:rPr>
                <w:szCs w:val="24"/>
              </w:rPr>
            </w:pPr>
            <w:r w:rsidRPr="00475CF8">
              <w:rPr>
                <w:szCs w:val="24"/>
              </w:rPr>
              <w:t>CR</w:t>
            </w:r>
          </w:p>
        </w:tc>
        <w:tc>
          <w:tcPr>
            <w:tcW w:w="1583" w:type="dxa"/>
            <w:noWrap/>
            <w:hideMark/>
          </w:tcPr>
          <w:p w14:paraId="758773BE" w14:textId="77777777" w:rsidR="00010983" w:rsidRPr="00844F5B" w:rsidRDefault="00010983" w:rsidP="00FD26B8">
            <w:pPr>
              <w:jc w:val="center"/>
              <w:rPr>
                <w:szCs w:val="24"/>
              </w:rPr>
            </w:pPr>
            <w:r w:rsidRPr="00844F5B">
              <w:rPr>
                <w:rFonts w:cs="Times New Roman"/>
                <w:szCs w:val="24"/>
              </w:rPr>
              <w:t>-1.528</w:t>
            </w:r>
          </w:p>
        </w:tc>
        <w:tc>
          <w:tcPr>
            <w:tcW w:w="1890" w:type="dxa"/>
            <w:noWrap/>
            <w:hideMark/>
          </w:tcPr>
          <w:p w14:paraId="687033C9" w14:textId="77777777" w:rsidR="00010983" w:rsidRPr="00844F5B" w:rsidRDefault="00010983" w:rsidP="00FD26B8">
            <w:pPr>
              <w:jc w:val="center"/>
              <w:rPr>
                <w:szCs w:val="24"/>
              </w:rPr>
            </w:pPr>
            <w:r w:rsidRPr="00844F5B">
              <w:rPr>
                <w:rFonts w:cs="Times New Roman"/>
                <w:szCs w:val="24"/>
              </w:rPr>
              <w:t>.733</w:t>
            </w:r>
          </w:p>
        </w:tc>
        <w:tc>
          <w:tcPr>
            <w:tcW w:w="449" w:type="dxa"/>
            <w:tcBorders>
              <w:top w:val="nil"/>
              <w:bottom w:val="nil"/>
            </w:tcBorders>
            <w:noWrap/>
            <w:hideMark/>
          </w:tcPr>
          <w:p w14:paraId="337F9849" w14:textId="77777777" w:rsidR="00010983" w:rsidRPr="00475CF8" w:rsidRDefault="00010983" w:rsidP="00FD26B8">
            <w:pPr>
              <w:jc w:val="center"/>
              <w:rPr>
                <w:szCs w:val="24"/>
              </w:rPr>
            </w:pPr>
          </w:p>
        </w:tc>
        <w:tc>
          <w:tcPr>
            <w:tcW w:w="1710" w:type="dxa"/>
            <w:noWrap/>
            <w:hideMark/>
          </w:tcPr>
          <w:p w14:paraId="4102026F" w14:textId="77777777" w:rsidR="00010983" w:rsidRPr="001F4F43" w:rsidRDefault="00010983" w:rsidP="00FD26B8">
            <w:pPr>
              <w:jc w:val="center"/>
              <w:rPr>
                <w:szCs w:val="24"/>
              </w:rPr>
            </w:pPr>
            <w:r w:rsidRPr="001F4F43">
              <w:rPr>
                <w:rFonts w:cs="Times New Roman"/>
                <w:szCs w:val="24"/>
              </w:rPr>
              <w:t>1.123</w:t>
            </w:r>
          </w:p>
        </w:tc>
        <w:tc>
          <w:tcPr>
            <w:tcW w:w="1800" w:type="dxa"/>
            <w:noWrap/>
            <w:hideMark/>
          </w:tcPr>
          <w:p w14:paraId="052434F8" w14:textId="77777777" w:rsidR="00010983" w:rsidRPr="001F4F43" w:rsidRDefault="00010983" w:rsidP="00FD26B8">
            <w:pPr>
              <w:jc w:val="center"/>
              <w:rPr>
                <w:szCs w:val="24"/>
              </w:rPr>
            </w:pPr>
            <w:r w:rsidRPr="001F4F43">
              <w:rPr>
                <w:rFonts w:cs="Times New Roman"/>
                <w:szCs w:val="24"/>
              </w:rPr>
              <w:t>.196</w:t>
            </w:r>
          </w:p>
        </w:tc>
      </w:tr>
      <w:tr w:rsidR="00010983" w:rsidRPr="00475CF8" w14:paraId="1C4FE814" w14:textId="77777777" w:rsidTr="00FD26B8">
        <w:trPr>
          <w:trHeight w:val="315"/>
        </w:trPr>
        <w:tc>
          <w:tcPr>
            <w:tcW w:w="1203" w:type="dxa"/>
            <w:noWrap/>
            <w:hideMark/>
          </w:tcPr>
          <w:p w14:paraId="722F7799" w14:textId="77777777" w:rsidR="00010983" w:rsidRPr="00475CF8" w:rsidRDefault="00010983" w:rsidP="00FD26B8">
            <w:pPr>
              <w:rPr>
                <w:szCs w:val="24"/>
              </w:rPr>
            </w:pPr>
            <w:r w:rsidRPr="00475CF8">
              <w:rPr>
                <w:szCs w:val="24"/>
              </w:rPr>
              <w:t>ROE</w:t>
            </w:r>
          </w:p>
        </w:tc>
        <w:tc>
          <w:tcPr>
            <w:tcW w:w="1583" w:type="dxa"/>
            <w:noWrap/>
            <w:hideMark/>
          </w:tcPr>
          <w:p w14:paraId="220C172E" w14:textId="77777777" w:rsidR="00010983" w:rsidRPr="00844F5B" w:rsidRDefault="00010983" w:rsidP="00FD26B8">
            <w:pPr>
              <w:jc w:val="center"/>
              <w:rPr>
                <w:szCs w:val="24"/>
              </w:rPr>
            </w:pPr>
            <w:r w:rsidRPr="00844F5B">
              <w:rPr>
                <w:rFonts w:cs="Times New Roman"/>
                <w:szCs w:val="24"/>
              </w:rPr>
              <w:t>-8.286</w:t>
            </w:r>
            <w:r>
              <w:rPr>
                <w:rFonts w:cs="Times New Roman"/>
                <w:szCs w:val="24"/>
              </w:rPr>
              <w:t>*</w:t>
            </w:r>
          </w:p>
        </w:tc>
        <w:tc>
          <w:tcPr>
            <w:tcW w:w="1890" w:type="dxa"/>
            <w:noWrap/>
            <w:hideMark/>
          </w:tcPr>
          <w:p w14:paraId="44E1F715" w14:textId="77777777" w:rsidR="00010983" w:rsidRPr="00844F5B" w:rsidRDefault="00010983" w:rsidP="00FD26B8">
            <w:pPr>
              <w:jc w:val="center"/>
              <w:rPr>
                <w:szCs w:val="24"/>
              </w:rPr>
            </w:pPr>
            <w:r w:rsidRPr="00844F5B">
              <w:rPr>
                <w:rFonts w:cs="Times New Roman"/>
                <w:szCs w:val="24"/>
              </w:rPr>
              <w:t>-1.17</w:t>
            </w:r>
          </w:p>
        </w:tc>
        <w:tc>
          <w:tcPr>
            <w:tcW w:w="449" w:type="dxa"/>
            <w:tcBorders>
              <w:top w:val="nil"/>
              <w:bottom w:val="nil"/>
            </w:tcBorders>
            <w:noWrap/>
            <w:hideMark/>
          </w:tcPr>
          <w:p w14:paraId="2BD0C363" w14:textId="77777777" w:rsidR="00010983" w:rsidRPr="00475CF8" w:rsidRDefault="00010983" w:rsidP="00FD26B8">
            <w:pPr>
              <w:jc w:val="center"/>
              <w:rPr>
                <w:szCs w:val="24"/>
              </w:rPr>
            </w:pPr>
          </w:p>
        </w:tc>
        <w:tc>
          <w:tcPr>
            <w:tcW w:w="1710" w:type="dxa"/>
            <w:noWrap/>
            <w:hideMark/>
          </w:tcPr>
          <w:p w14:paraId="02E46FE1" w14:textId="77777777" w:rsidR="00010983" w:rsidRPr="001F4F43" w:rsidRDefault="00010983" w:rsidP="00FD26B8">
            <w:pPr>
              <w:jc w:val="center"/>
              <w:rPr>
                <w:szCs w:val="24"/>
              </w:rPr>
            </w:pPr>
            <w:r w:rsidRPr="001F4F43">
              <w:rPr>
                <w:rFonts w:cs="Times New Roman"/>
                <w:szCs w:val="24"/>
              </w:rPr>
              <w:t>.43</w:t>
            </w:r>
          </w:p>
        </w:tc>
        <w:tc>
          <w:tcPr>
            <w:tcW w:w="1800" w:type="dxa"/>
            <w:noWrap/>
            <w:hideMark/>
          </w:tcPr>
          <w:p w14:paraId="10A4C616" w14:textId="77777777" w:rsidR="00010983" w:rsidRPr="001F4F43" w:rsidRDefault="00010983" w:rsidP="00FD26B8">
            <w:pPr>
              <w:jc w:val="center"/>
              <w:rPr>
                <w:szCs w:val="24"/>
              </w:rPr>
            </w:pPr>
            <w:r w:rsidRPr="001F4F43">
              <w:rPr>
                <w:rFonts w:cs="Times New Roman"/>
                <w:szCs w:val="24"/>
              </w:rPr>
              <w:t>-.834</w:t>
            </w:r>
          </w:p>
        </w:tc>
      </w:tr>
      <w:tr w:rsidR="00010983" w:rsidRPr="00475CF8" w14:paraId="4A686460" w14:textId="77777777" w:rsidTr="00FD26B8">
        <w:trPr>
          <w:trHeight w:val="315"/>
        </w:trPr>
        <w:tc>
          <w:tcPr>
            <w:tcW w:w="1203" w:type="dxa"/>
            <w:noWrap/>
            <w:hideMark/>
          </w:tcPr>
          <w:p w14:paraId="40870695" w14:textId="77777777" w:rsidR="00010983" w:rsidRPr="00475CF8" w:rsidRDefault="00010983" w:rsidP="00FD26B8">
            <w:pPr>
              <w:rPr>
                <w:szCs w:val="24"/>
              </w:rPr>
            </w:pPr>
            <w:r w:rsidRPr="00475CF8">
              <w:rPr>
                <w:szCs w:val="24"/>
              </w:rPr>
              <w:t>BS</w:t>
            </w:r>
          </w:p>
        </w:tc>
        <w:tc>
          <w:tcPr>
            <w:tcW w:w="1583" w:type="dxa"/>
            <w:noWrap/>
            <w:hideMark/>
          </w:tcPr>
          <w:p w14:paraId="17144844" w14:textId="77777777" w:rsidR="00010983" w:rsidRPr="00844F5B" w:rsidRDefault="00010983" w:rsidP="00FD26B8">
            <w:pPr>
              <w:jc w:val="center"/>
              <w:rPr>
                <w:szCs w:val="24"/>
              </w:rPr>
            </w:pPr>
            <w:r w:rsidRPr="00844F5B">
              <w:rPr>
                <w:rFonts w:cs="Times New Roman"/>
                <w:szCs w:val="24"/>
              </w:rPr>
              <w:t>.899</w:t>
            </w:r>
            <w:r>
              <w:rPr>
                <w:rFonts w:cs="Times New Roman"/>
                <w:szCs w:val="24"/>
              </w:rPr>
              <w:t>**</w:t>
            </w:r>
          </w:p>
        </w:tc>
        <w:tc>
          <w:tcPr>
            <w:tcW w:w="1890" w:type="dxa"/>
            <w:noWrap/>
            <w:hideMark/>
          </w:tcPr>
          <w:p w14:paraId="00250CC8" w14:textId="77777777" w:rsidR="00010983" w:rsidRPr="00844F5B" w:rsidRDefault="00010983" w:rsidP="00FD26B8">
            <w:pPr>
              <w:jc w:val="center"/>
              <w:rPr>
                <w:szCs w:val="24"/>
              </w:rPr>
            </w:pPr>
            <w:r w:rsidRPr="00844F5B">
              <w:rPr>
                <w:rFonts w:cs="Times New Roman"/>
                <w:szCs w:val="24"/>
              </w:rPr>
              <w:t>.67</w:t>
            </w:r>
            <w:r>
              <w:rPr>
                <w:rFonts w:cs="Times New Roman"/>
                <w:szCs w:val="24"/>
              </w:rPr>
              <w:t>*</w:t>
            </w:r>
          </w:p>
        </w:tc>
        <w:tc>
          <w:tcPr>
            <w:tcW w:w="449" w:type="dxa"/>
            <w:tcBorders>
              <w:top w:val="nil"/>
              <w:bottom w:val="nil"/>
            </w:tcBorders>
            <w:noWrap/>
            <w:hideMark/>
          </w:tcPr>
          <w:p w14:paraId="2868115A" w14:textId="77777777" w:rsidR="00010983" w:rsidRPr="00475CF8" w:rsidRDefault="00010983" w:rsidP="00FD26B8">
            <w:pPr>
              <w:jc w:val="center"/>
              <w:rPr>
                <w:szCs w:val="24"/>
              </w:rPr>
            </w:pPr>
          </w:p>
        </w:tc>
        <w:tc>
          <w:tcPr>
            <w:tcW w:w="1710" w:type="dxa"/>
            <w:noWrap/>
            <w:hideMark/>
          </w:tcPr>
          <w:p w14:paraId="3B6E621E" w14:textId="77777777" w:rsidR="00010983" w:rsidRPr="001F4F43" w:rsidRDefault="00010983" w:rsidP="00FD26B8">
            <w:pPr>
              <w:jc w:val="center"/>
              <w:rPr>
                <w:szCs w:val="24"/>
              </w:rPr>
            </w:pPr>
            <w:r w:rsidRPr="001F4F43">
              <w:rPr>
                <w:rFonts w:cs="Times New Roman"/>
                <w:szCs w:val="24"/>
              </w:rPr>
              <w:t>.64</w:t>
            </w:r>
            <w:r>
              <w:rPr>
                <w:rFonts w:cs="Times New Roman"/>
                <w:szCs w:val="24"/>
              </w:rPr>
              <w:t>**</w:t>
            </w:r>
          </w:p>
        </w:tc>
        <w:tc>
          <w:tcPr>
            <w:tcW w:w="1800" w:type="dxa"/>
            <w:noWrap/>
            <w:hideMark/>
          </w:tcPr>
          <w:p w14:paraId="14B6F883" w14:textId="77777777" w:rsidR="00010983" w:rsidRPr="001F4F43" w:rsidRDefault="00010983" w:rsidP="00FD26B8">
            <w:pPr>
              <w:jc w:val="center"/>
              <w:rPr>
                <w:szCs w:val="24"/>
              </w:rPr>
            </w:pPr>
            <w:r w:rsidRPr="001F4F43">
              <w:rPr>
                <w:rFonts w:cs="Times New Roman"/>
                <w:szCs w:val="24"/>
              </w:rPr>
              <w:t>.27</w:t>
            </w:r>
            <w:r>
              <w:rPr>
                <w:rFonts w:cs="Times New Roman"/>
                <w:szCs w:val="24"/>
              </w:rPr>
              <w:t>*</w:t>
            </w:r>
          </w:p>
        </w:tc>
      </w:tr>
      <w:tr w:rsidR="00010983" w:rsidRPr="00475CF8" w14:paraId="6C8F03B8" w14:textId="77777777" w:rsidTr="00FD26B8">
        <w:trPr>
          <w:trHeight w:val="315"/>
        </w:trPr>
        <w:tc>
          <w:tcPr>
            <w:tcW w:w="1203" w:type="dxa"/>
            <w:noWrap/>
            <w:hideMark/>
          </w:tcPr>
          <w:p w14:paraId="21DF85DA" w14:textId="77777777" w:rsidR="00010983" w:rsidRPr="00475CF8" w:rsidRDefault="00010983" w:rsidP="00FD26B8">
            <w:pPr>
              <w:rPr>
                <w:szCs w:val="24"/>
              </w:rPr>
            </w:pPr>
            <w:r w:rsidRPr="00475CF8">
              <w:rPr>
                <w:szCs w:val="24"/>
              </w:rPr>
              <w:t>CAR</w:t>
            </w:r>
          </w:p>
        </w:tc>
        <w:tc>
          <w:tcPr>
            <w:tcW w:w="1583" w:type="dxa"/>
            <w:noWrap/>
            <w:hideMark/>
          </w:tcPr>
          <w:p w14:paraId="171EC0E8" w14:textId="77777777" w:rsidR="00010983" w:rsidRPr="00844F5B" w:rsidRDefault="00010983" w:rsidP="00FD26B8">
            <w:pPr>
              <w:jc w:val="center"/>
              <w:rPr>
                <w:szCs w:val="24"/>
              </w:rPr>
            </w:pPr>
            <w:r w:rsidRPr="00844F5B">
              <w:rPr>
                <w:rFonts w:cs="Times New Roman"/>
                <w:szCs w:val="24"/>
              </w:rPr>
              <w:t>-3.558</w:t>
            </w:r>
          </w:p>
        </w:tc>
        <w:tc>
          <w:tcPr>
            <w:tcW w:w="1890" w:type="dxa"/>
            <w:noWrap/>
            <w:hideMark/>
          </w:tcPr>
          <w:p w14:paraId="11DB4D6A" w14:textId="77777777" w:rsidR="00010983" w:rsidRPr="00844F5B" w:rsidRDefault="00010983" w:rsidP="00FD26B8">
            <w:pPr>
              <w:jc w:val="center"/>
              <w:rPr>
                <w:szCs w:val="24"/>
              </w:rPr>
            </w:pPr>
            <w:r w:rsidRPr="00844F5B">
              <w:rPr>
                <w:rFonts w:cs="Times New Roman"/>
                <w:szCs w:val="24"/>
              </w:rPr>
              <w:t>-4.003</w:t>
            </w:r>
          </w:p>
        </w:tc>
        <w:tc>
          <w:tcPr>
            <w:tcW w:w="449" w:type="dxa"/>
            <w:tcBorders>
              <w:top w:val="nil"/>
              <w:bottom w:val="nil"/>
            </w:tcBorders>
            <w:noWrap/>
            <w:hideMark/>
          </w:tcPr>
          <w:p w14:paraId="253599C6" w14:textId="77777777" w:rsidR="00010983" w:rsidRPr="00475CF8" w:rsidRDefault="00010983" w:rsidP="00FD26B8">
            <w:pPr>
              <w:jc w:val="center"/>
              <w:rPr>
                <w:szCs w:val="24"/>
              </w:rPr>
            </w:pPr>
          </w:p>
        </w:tc>
        <w:tc>
          <w:tcPr>
            <w:tcW w:w="1710" w:type="dxa"/>
            <w:noWrap/>
            <w:hideMark/>
          </w:tcPr>
          <w:p w14:paraId="14591899" w14:textId="77777777" w:rsidR="00010983" w:rsidRPr="001F4F43" w:rsidRDefault="00010983" w:rsidP="00FD26B8">
            <w:pPr>
              <w:jc w:val="center"/>
              <w:rPr>
                <w:szCs w:val="24"/>
              </w:rPr>
            </w:pPr>
            <w:r w:rsidRPr="001F4F43">
              <w:rPr>
                <w:rFonts w:cs="Times New Roman"/>
                <w:szCs w:val="24"/>
              </w:rPr>
              <w:t>.26</w:t>
            </w:r>
          </w:p>
        </w:tc>
        <w:tc>
          <w:tcPr>
            <w:tcW w:w="1800" w:type="dxa"/>
            <w:noWrap/>
            <w:hideMark/>
          </w:tcPr>
          <w:p w14:paraId="39116CFD" w14:textId="77777777" w:rsidR="00010983" w:rsidRPr="001F4F43" w:rsidRDefault="00010983" w:rsidP="00FD26B8">
            <w:pPr>
              <w:jc w:val="center"/>
              <w:rPr>
                <w:szCs w:val="24"/>
              </w:rPr>
            </w:pPr>
            <w:r w:rsidRPr="001F4F43">
              <w:rPr>
                <w:rFonts w:cs="Times New Roman"/>
                <w:szCs w:val="24"/>
              </w:rPr>
              <w:t>-.027</w:t>
            </w:r>
          </w:p>
        </w:tc>
      </w:tr>
      <w:tr w:rsidR="00010983" w:rsidRPr="00475CF8" w14:paraId="553C7810" w14:textId="77777777" w:rsidTr="00FD26B8">
        <w:trPr>
          <w:trHeight w:val="315"/>
        </w:trPr>
        <w:tc>
          <w:tcPr>
            <w:tcW w:w="1203" w:type="dxa"/>
            <w:noWrap/>
            <w:hideMark/>
          </w:tcPr>
          <w:p w14:paraId="458E9391" w14:textId="77777777" w:rsidR="00010983" w:rsidRPr="00475CF8" w:rsidRDefault="00010983" w:rsidP="00FD26B8">
            <w:pPr>
              <w:rPr>
                <w:szCs w:val="24"/>
              </w:rPr>
            </w:pPr>
            <w:r w:rsidRPr="00475CF8">
              <w:rPr>
                <w:szCs w:val="24"/>
              </w:rPr>
              <w:t>Constant</w:t>
            </w:r>
          </w:p>
        </w:tc>
        <w:tc>
          <w:tcPr>
            <w:tcW w:w="1583" w:type="dxa"/>
            <w:noWrap/>
            <w:hideMark/>
          </w:tcPr>
          <w:p w14:paraId="09C006E8" w14:textId="77777777" w:rsidR="00010983" w:rsidRPr="00844F5B" w:rsidRDefault="00010983" w:rsidP="00FD26B8">
            <w:pPr>
              <w:jc w:val="center"/>
              <w:rPr>
                <w:szCs w:val="24"/>
              </w:rPr>
            </w:pPr>
            <w:r w:rsidRPr="00844F5B">
              <w:rPr>
                <w:rFonts w:cs="Times New Roman"/>
                <w:szCs w:val="24"/>
              </w:rPr>
              <w:t>-10.492</w:t>
            </w:r>
          </w:p>
        </w:tc>
        <w:tc>
          <w:tcPr>
            <w:tcW w:w="1890" w:type="dxa"/>
            <w:noWrap/>
            <w:hideMark/>
          </w:tcPr>
          <w:p w14:paraId="26D5B4F8" w14:textId="77777777" w:rsidR="00010983" w:rsidRPr="00844F5B" w:rsidRDefault="00010983" w:rsidP="00FD26B8">
            <w:pPr>
              <w:jc w:val="center"/>
              <w:rPr>
                <w:szCs w:val="24"/>
              </w:rPr>
            </w:pPr>
            <w:r w:rsidRPr="00844F5B">
              <w:rPr>
                <w:rFonts w:cs="Times New Roman"/>
                <w:szCs w:val="24"/>
              </w:rPr>
              <w:t>-6.129</w:t>
            </w:r>
          </w:p>
        </w:tc>
        <w:tc>
          <w:tcPr>
            <w:tcW w:w="449" w:type="dxa"/>
            <w:tcBorders>
              <w:top w:val="nil"/>
              <w:bottom w:val="nil"/>
            </w:tcBorders>
            <w:noWrap/>
            <w:hideMark/>
          </w:tcPr>
          <w:p w14:paraId="6F8C5AE5" w14:textId="77777777" w:rsidR="00010983" w:rsidRPr="00475CF8" w:rsidRDefault="00010983" w:rsidP="00FD26B8">
            <w:pPr>
              <w:jc w:val="center"/>
              <w:rPr>
                <w:szCs w:val="24"/>
              </w:rPr>
            </w:pPr>
          </w:p>
        </w:tc>
        <w:tc>
          <w:tcPr>
            <w:tcW w:w="1710" w:type="dxa"/>
            <w:noWrap/>
            <w:hideMark/>
          </w:tcPr>
          <w:p w14:paraId="7687E3FF" w14:textId="77777777" w:rsidR="00010983" w:rsidRPr="001F4F43" w:rsidRDefault="00010983" w:rsidP="00FD26B8">
            <w:pPr>
              <w:jc w:val="center"/>
              <w:rPr>
                <w:szCs w:val="24"/>
              </w:rPr>
            </w:pPr>
            <w:r w:rsidRPr="001F4F43">
              <w:rPr>
                <w:rFonts w:cs="Times New Roman"/>
                <w:szCs w:val="24"/>
              </w:rPr>
              <w:t>-12.098</w:t>
            </w:r>
            <w:r>
              <w:rPr>
                <w:rFonts w:cs="Times New Roman"/>
                <w:szCs w:val="24"/>
              </w:rPr>
              <w:t>**</w:t>
            </w:r>
          </w:p>
        </w:tc>
        <w:tc>
          <w:tcPr>
            <w:tcW w:w="1800" w:type="dxa"/>
            <w:noWrap/>
            <w:hideMark/>
          </w:tcPr>
          <w:p w14:paraId="5642A18D" w14:textId="77777777" w:rsidR="00010983" w:rsidRPr="001F4F43" w:rsidRDefault="00010983" w:rsidP="00FD26B8">
            <w:pPr>
              <w:jc w:val="center"/>
              <w:rPr>
                <w:szCs w:val="24"/>
              </w:rPr>
            </w:pPr>
            <w:r w:rsidRPr="001F4F43">
              <w:rPr>
                <w:rFonts w:cs="Times New Roman"/>
                <w:szCs w:val="24"/>
              </w:rPr>
              <w:t>-4.236</w:t>
            </w:r>
          </w:p>
        </w:tc>
      </w:tr>
    </w:tbl>
    <w:tbl>
      <w:tblPr>
        <w:tblW w:w="0" w:type="auto"/>
        <w:tblInd w:w="-108" w:type="dxa"/>
        <w:tblLayout w:type="fixed"/>
        <w:tblLook w:val="0000" w:firstRow="0" w:lastRow="0" w:firstColumn="0" w:lastColumn="0" w:noHBand="0" w:noVBand="0"/>
      </w:tblPr>
      <w:tblGrid>
        <w:gridCol w:w="8858"/>
      </w:tblGrid>
      <w:tr w:rsidR="00010983" w14:paraId="4AE2A170" w14:textId="77777777" w:rsidTr="00FD26B8">
        <w:tc>
          <w:tcPr>
            <w:tcW w:w="8858" w:type="dxa"/>
            <w:tcBorders>
              <w:top w:val="single" w:sz="6" w:space="0" w:color="auto"/>
              <w:left w:val="nil"/>
              <w:bottom w:val="nil"/>
              <w:right w:val="nil"/>
            </w:tcBorders>
          </w:tcPr>
          <w:p w14:paraId="0BD6CF7D" w14:textId="77777777" w:rsidR="00010983" w:rsidRDefault="00010983" w:rsidP="00FD26B8">
            <w:pPr>
              <w:widowControl w:val="0"/>
              <w:autoSpaceDE w:val="0"/>
              <w:autoSpaceDN w:val="0"/>
              <w:adjustRightInd w:val="0"/>
              <w:spacing w:after="0" w:line="240" w:lineRule="auto"/>
              <w:rPr>
                <w:rFonts w:cs="Times New Roman"/>
                <w:sz w:val="20"/>
                <w:szCs w:val="20"/>
              </w:rPr>
            </w:pPr>
            <w:r>
              <w:rPr>
                <w:rFonts w:cs="Times New Roman"/>
                <w:i/>
                <w:iCs/>
                <w:sz w:val="20"/>
                <w:szCs w:val="20"/>
              </w:rPr>
              <w:t>*** p&lt;.01, ** p&lt;.05, * p&lt;.1</w:t>
            </w:r>
          </w:p>
        </w:tc>
      </w:tr>
    </w:tbl>
    <w:p w14:paraId="735813E9" w14:textId="77777777" w:rsidR="00010983" w:rsidRDefault="00010983" w:rsidP="00010983"/>
    <w:p w14:paraId="1500C3C3" w14:textId="536E2510" w:rsidR="00010983" w:rsidRDefault="009D1AD5" w:rsidP="00010983">
      <w:r w:rsidRPr="009D1AD5">
        <w:fldChar w:fldCharType="begin"/>
      </w:r>
      <w:r w:rsidRPr="009D1AD5">
        <w:instrText xml:space="preserve"> REF _Ref48675745 \h  \* MERGEFORMAT </w:instrText>
      </w:r>
      <w:r w:rsidRPr="009D1AD5">
        <w:fldChar w:fldCharType="separate"/>
      </w:r>
      <w:r w:rsidRPr="009D1AD5">
        <w:rPr>
          <w:szCs w:val="24"/>
        </w:rPr>
        <w:t xml:space="preserve">Table </w:t>
      </w:r>
      <w:r w:rsidRPr="009D1AD5">
        <w:rPr>
          <w:noProof/>
          <w:szCs w:val="24"/>
        </w:rPr>
        <w:t>8</w:t>
      </w:r>
      <w:r w:rsidRPr="009D1AD5">
        <w:fldChar w:fldCharType="end"/>
      </w:r>
      <w:r w:rsidR="00010983" w:rsidRPr="00E17D14">
        <w:t xml:space="preserve"> shows that the different results and implications obtained under the two</w:t>
      </w:r>
      <w:r w:rsidR="00010983">
        <w:t xml:space="preserve"> methods for each group of banks. Hausman test was used as the last step to select the most accurate estimator.</w:t>
      </w:r>
    </w:p>
    <w:p w14:paraId="5962DBE4" w14:textId="77777777" w:rsidR="00010983" w:rsidRDefault="00010983" w:rsidP="002B430C">
      <w:pPr>
        <w:pStyle w:val="Heading3"/>
      </w:pPr>
      <w:bookmarkStart w:id="30" w:name="_Toc48682030"/>
      <w:r>
        <w:t>Hausman test</w:t>
      </w:r>
      <w:bookmarkEnd w:id="30"/>
      <w:r>
        <w:t xml:space="preserve"> </w:t>
      </w:r>
    </w:p>
    <w:p w14:paraId="409AA1AE" w14:textId="7DC43CA8" w:rsidR="00010983" w:rsidRDefault="00010983" w:rsidP="00010983">
      <w:r w:rsidRPr="00D12974">
        <w:t>Hausman test are performed to aid in selecting the appropriate model that reflects the most accurate estimator. The results of Hausman test are presented in the</w:t>
      </w:r>
      <w:r w:rsidRPr="009D1AD5">
        <w:t xml:space="preserve"> </w:t>
      </w:r>
      <w:r w:rsidR="009D1AD5" w:rsidRPr="009D1AD5">
        <w:fldChar w:fldCharType="begin"/>
      </w:r>
      <w:r w:rsidR="009D1AD5" w:rsidRPr="009D1AD5">
        <w:instrText xml:space="preserve"> REF _Ref48676027 \h  \* MERGEFORMAT </w:instrText>
      </w:r>
      <w:r w:rsidR="009D1AD5" w:rsidRPr="009D1AD5">
        <w:fldChar w:fldCharType="separate"/>
      </w:r>
      <w:r w:rsidR="009D1AD5" w:rsidRPr="009D1AD5">
        <w:rPr>
          <w:szCs w:val="24"/>
        </w:rPr>
        <w:t xml:space="preserve">Table </w:t>
      </w:r>
      <w:r w:rsidR="009D1AD5" w:rsidRPr="009D1AD5">
        <w:rPr>
          <w:noProof/>
          <w:szCs w:val="24"/>
        </w:rPr>
        <w:t>9</w:t>
      </w:r>
      <w:r w:rsidR="009D1AD5" w:rsidRPr="009D1AD5">
        <w:fldChar w:fldCharType="end"/>
      </w:r>
      <w:r w:rsidRPr="00D12974">
        <w:t>.  The null hypothesis under Hausman test is that the random effect model is the appropriate model, whereas the alternative hypothesis calls for the fixed effect</w:t>
      </w:r>
      <w:r>
        <w:t xml:space="preserve"> model. </w:t>
      </w:r>
    </w:p>
    <w:p w14:paraId="2943B5A8" w14:textId="77777777" w:rsidR="00F20F19" w:rsidRDefault="00F20F19" w:rsidP="00010983">
      <w:pPr>
        <w:pStyle w:val="Caption"/>
        <w:spacing w:after="0"/>
        <w:rPr>
          <w:b/>
          <w:bCs/>
          <w:i w:val="0"/>
          <w:iCs w:val="0"/>
          <w:color w:val="auto"/>
          <w:sz w:val="24"/>
          <w:szCs w:val="24"/>
          <w:rtl/>
        </w:rPr>
      </w:pPr>
      <w:bookmarkStart w:id="31" w:name="_Ref48676027"/>
      <w:bookmarkStart w:id="32" w:name="_Toc48684286"/>
    </w:p>
    <w:p w14:paraId="067C57ED" w14:textId="77777777" w:rsidR="00F20F19" w:rsidRDefault="00F20F19" w:rsidP="00010983">
      <w:pPr>
        <w:pStyle w:val="Caption"/>
        <w:spacing w:after="0"/>
        <w:rPr>
          <w:b/>
          <w:bCs/>
          <w:i w:val="0"/>
          <w:iCs w:val="0"/>
          <w:color w:val="auto"/>
          <w:sz w:val="24"/>
          <w:szCs w:val="24"/>
          <w:rtl/>
        </w:rPr>
      </w:pPr>
    </w:p>
    <w:p w14:paraId="0739609D" w14:textId="1B24BABD" w:rsidR="00010983" w:rsidRPr="00D12974" w:rsidRDefault="00010983" w:rsidP="00010983">
      <w:pPr>
        <w:pStyle w:val="Caption"/>
        <w:spacing w:after="0"/>
        <w:rPr>
          <w:b/>
          <w:bCs/>
          <w:i w:val="0"/>
          <w:iCs w:val="0"/>
          <w:color w:val="auto"/>
          <w:sz w:val="24"/>
          <w:szCs w:val="24"/>
        </w:rPr>
      </w:pPr>
      <w:r w:rsidRPr="00D12974">
        <w:rPr>
          <w:b/>
          <w:bCs/>
          <w:i w:val="0"/>
          <w:iCs w:val="0"/>
          <w:color w:val="auto"/>
          <w:sz w:val="24"/>
          <w:szCs w:val="24"/>
        </w:rPr>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9</w:t>
      </w:r>
      <w:r w:rsidR="009E67C3">
        <w:rPr>
          <w:b/>
          <w:bCs/>
          <w:i w:val="0"/>
          <w:iCs w:val="0"/>
          <w:color w:val="auto"/>
          <w:sz w:val="24"/>
          <w:szCs w:val="24"/>
        </w:rPr>
        <w:fldChar w:fldCharType="end"/>
      </w:r>
      <w:bookmarkEnd w:id="31"/>
      <w:r w:rsidRPr="00D12974">
        <w:rPr>
          <w:b/>
          <w:bCs/>
          <w:i w:val="0"/>
          <w:iCs w:val="0"/>
          <w:color w:val="auto"/>
          <w:sz w:val="24"/>
          <w:szCs w:val="24"/>
        </w:rPr>
        <w:t xml:space="preserve">: Hausman Test- </w:t>
      </w:r>
      <w:r>
        <w:rPr>
          <w:b/>
          <w:bCs/>
          <w:i w:val="0"/>
          <w:iCs w:val="0"/>
          <w:color w:val="auto"/>
          <w:sz w:val="24"/>
          <w:szCs w:val="24"/>
        </w:rPr>
        <w:t>Conventional and Islamic Banks</w:t>
      </w:r>
      <w:bookmarkEnd w:id="32"/>
      <w:r>
        <w:rPr>
          <w:b/>
          <w:bCs/>
          <w:i w:val="0"/>
          <w:iCs w:val="0"/>
          <w:color w:val="auto"/>
          <w:sz w:val="24"/>
          <w:szCs w:val="24"/>
        </w:rPr>
        <w:t xml:space="preserve"> </w:t>
      </w:r>
    </w:p>
    <w:tbl>
      <w:tblPr>
        <w:tblStyle w:val="TableGrid"/>
        <w:tblW w:w="0" w:type="auto"/>
        <w:tblLook w:val="04A0" w:firstRow="1" w:lastRow="0" w:firstColumn="1" w:lastColumn="0" w:noHBand="0" w:noVBand="1"/>
      </w:tblPr>
      <w:tblGrid>
        <w:gridCol w:w="1370"/>
        <w:gridCol w:w="1583"/>
        <w:gridCol w:w="1890"/>
        <w:gridCol w:w="449"/>
        <w:gridCol w:w="1710"/>
        <w:gridCol w:w="1800"/>
      </w:tblGrid>
      <w:tr w:rsidR="00010983" w:rsidRPr="00E17D14" w14:paraId="76EB8091" w14:textId="77777777" w:rsidTr="00FD26B8">
        <w:trPr>
          <w:trHeight w:val="315"/>
        </w:trPr>
        <w:tc>
          <w:tcPr>
            <w:tcW w:w="1370" w:type="dxa"/>
            <w:noWrap/>
            <w:hideMark/>
          </w:tcPr>
          <w:p w14:paraId="3F3C16B1" w14:textId="77777777" w:rsidR="00010983" w:rsidRPr="00E17D14" w:rsidRDefault="00010983" w:rsidP="00FD26B8">
            <w:pPr>
              <w:rPr>
                <w:szCs w:val="24"/>
              </w:rPr>
            </w:pPr>
            <w:r w:rsidRPr="00E17D14">
              <w:rPr>
                <w:szCs w:val="24"/>
              </w:rPr>
              <w:t> </w:t>
            </w:r>
          </w:p>
        </w:tc>
        <w:tc>
          <w:tcPr>
            <w:tcW w:w="3473" w:type="dxa"/>
            <w:gridSpan w:val="2"/>
            <w:noWrap/>
            <w:hideMark/>
          </w:tcPr>
          <w:p w14:paraId="7F3F4BDB" w14:textId="77777777" w:rsidR="00010983" w:rsidRPr="00E17D14" w:rsidRDefault="00010983" w:rsidP="00FD26B8">
            <w:pPr>
              <w:jc w:val="center"/>
              <w:rPr>
                <w:b/>
                <w:bCs/>
                <w:szCs w:val="24"/>
              </w:rPr>
            </w:pPr>
            <w:r w:rsidRPr="00E17D14">
              <w:rPr>
                <w:b/>
                <w:bCs/>
                <w:szCs w:val="24"/>
              </w:rPr>
              <w:t>Conventional Banks</w:t>
            </w:r>
          </w:p>
        </w:tc>
        <w:tc>
          <w:tcPr>
            <w:tcW w:w="449" w:type="dxa"/>
            <w:tcBorders>
              <w:top w:val="nil"/>
              <w:bottom w:val="nil"/>
            </w:tcBorders>
            <w:noWrap/>
            <w:hideMark/>
          </w:tcPr>
          <w:p w14:paraId="3A4DFC4E" w14:textId="77777777" w:rsidR="00010983" w:rsidRPr="00E17D14" w:rsidRDefault="00010983" w:rsidP="00FD26B8">
            <w:pPr>
              <w:jc w:val="center"/>
              <w:rPr>
                <w:b/>
                <w:bCs/>
                <w:szCs w:val="24"/>
              </w:rPr>
            </w:pPr>
          </w:p>
        </w:tc>
        <w:tc>
          <w:tcPr>
            <w:tcW w:w="3510" w:type="dxa"/>
            <w:gridSpan w:val="2"/>
            <w:noWrap/>
            <w:hideMark/>
          </w:tcPr>
          <w:p w14:paraId="5CD51DF7" w14:textId="77777777" w:rsidR="00010983" w:rsidRPr="00E17D14" w:rsidRDefault="00010983" w:rsidP="00FD26B8">
            <w:pPr>
              <w:jc w:val="center"/>
              <w:rPr>
                <w:b/>
                <w:bCs/>
                <w:szCs w:val="24"/>
              </w:rPr>
            </w:pPr>
            <w:r w:rsidRPr="00E17D14">
              <w:rPr>
                <w:b/>
                <w:bCs/>
                <w:szCs w:val="24"/>
              </w:rPr>
              <w:t>Islamic Banks</w:t>
            </w:r>
          </w:p>
        </w:tc>
      </w:tr>
      <w:tr w:rsidR="00010983" w:rsidRPr="00E17D14" w14:paraId="5FD2B67F" w14:textId="77777777" w:rsidTr="00FD26B8">
        <w:trPr>
          <w:trHeight w:val="315"/>
        </w:trPr>
        <w:tc>
          <w:tcPr>
            <w:tcW w:w="1370" w:type="dxa"/>
            <w:noWrap/>
            <w:hideMark/>
          </w:tcPr>
          <w:p w14:paraId="43B033D6" w14:textId="77777777" w:rsidR="00010983" w:rsidRPr="00E17D14" w:rsidRDefault="00010983" w:rsidP="00FD26B8">
            <w:pPr>
              <w:jc w:val="center"/>
              <w:rPr>
                <w:b/>
                <w:bCs/>
                <w:szCs w:val="24"/>
              </w:rPr>
            </w:pPr>
            <w:r w:rsidRPr="00E17D14">
              <w:rPr>
                <w:b/>
                <w:bCs/>
                <w:szCs w:val="24"/>
              </w:rPr>
              <w:t>Variables</w:t>
            </w:r>
          </w:p>
        </w:tc>
        <w:tc>
          <w:tcPr>
            <w:tcW w:w="1583" w:type="dxa"/>
            <w:noWrap/>
            <w:hideMark/>
          </w:tcPr>
          <w:p w14:paraId="59C167A4" w14:textId="77777777" w:rsidR="00010983" w:rsidRPr="00E17D14" w:rsidRDefault="00010983" w:rsidP="00FD26B8">
            <w:pPr>
              <w:jc w:val="center"/>
              <w:rPr>
                <w:b/>
                <w:bCs/>
                <w:szCs w:val="24"/>
              </w:rPr>
            </w:pPr>
            <w:r w:rsidRPr="00E17D14">
              <w:rPr>
                <w:b/>
                <w:bCs/>
                <w:szCs w:val="24"/>
              </w:rPr>
              <w:t>Fixed Effect</w:t>
            </w:r>
          </w:p>
        </w:tc>
        <w:tc>
          <w:tcPr>
            <w:tcW w:w="1890" w:type="dxa"/>
            <w:noWrap/>
            <w:hideMark/>
          </w:tcPr>
          <w:p w14:paraId="6BB1E2AE" w14:textId="77777777" w:rsidR="00010983" w:rsidRPr="00E17D14" w:rsidRDefault="00010983" w:rsidP="00FD26B8">
            <w:pPr>
              <w:jc w:val="center"/>
              <w:rPr>
                <w:b/>
                <w:bCs/>
                <w:szCs w:val="24"/>
              </w:rPr>
            </w:pPr>
            <w:r w:rsidRPr="00E17D14">
              <w:rPr>
                <w:b/>
                <w:bCs/>
                <w:szCs w:val="24"/>
              </w:rPr>
              <w:t>Random Effect</w:t>
            </w:r>
          </w:p>
        </w:tc>
        <w:tc>
          <w:tcPr>
            <w:tcW w:w="449" w:type="dxa"/>
            <w:tcBorders>
              <w:top w:val="nil"/>
              <w:bottom w:val="nil"/>
            </w:tcBorders>
            <w:noWrap/>
            <w:hideMark/>
          </w:tcPr>
          <w:p w14:paraId="225220D4" w14:textId="77777777" w:rsidR="00010983" w:rsidRPr="00E17D14" w:rsidRDefault="00010983" w:rsidP="00FD26B8">
            <w:pPr>
              <w:jc w:val="center"/>
              <w:rPr>
                <w:b/>
                <w:bCs/>
                <w:szCs w:val="24"/>
              </w:rPr>
            </w:pPr>
          </w:p>
        </w:tc>
        <w:tc>
          <w:tcPr>
            <w:tcW w:w="1710" w:type="dxa"/>
            <w:noWrap/>
            <w:hideMark/>
          </w:tcPr>
          <w:p w14:paraId="43C222FB" w14:textId="77777777" w:rsidR="00010983" w:rsidRPr="00E17D14" w:rsidRDefault="00010983" w:rsidP="00FD26B8">
            <w:pPr>
              <w:jc w:val="center"/>
              <w:rPr>
                <w:b/>
                <w:bCs/>
                <w:szCs w:val="24"/>
              </w:rPr>
            </w:pPr>
            <w:r w:rsidRPr="00E17D14">
              <w:rPr>
                <w:b/>
                <w:bCs/>
                <w:szCs w:val="24"/>
              </w:rPr>
              <w:t>Fixed Effect</w:t>
            </w:r>
          </w:p>
        </w:tc>
        <w:tc>
          <w:tcPr>
            <w:tcW w:w="1800" w:type="dxa"/>
            <w:noWrap/>
            <w:hideMark/>
          </w:tcPr>
          <w:p w14:paraId="09C4D958" w14:textId="77777777" w:rsidR="00010983" w:rsidRPr="00E17D14" w:rsidRDefault="00010983" w:rsidP="00FD26B8">
            <w:pPr>
              <w:jc w:val="center"/>
              <w:rPr>
                <w:b/>
                <w:bCs/>
                <w:szCs w:val="24"/>
              </w:rPr>
            </w:pPr>
            <w:r w:rsidRPr="00E17D14">
              <w:rPr>
                <w:b/>
                <w:bCs/>
                <w:szCs w:val="24"/>
              </w:rPr>
              <w:t>Random Effect</w:t>
            </w:r>
          </w:p>
        </w:tc>
      </w:tr>
      <w:tr w:rsidR="00010983" w:rsidRPr="00E17D14" w14:paraId="188CECC2" w14:textId="77777777" w:rsidTr="00FD26B8">
        <w:trPr>
          <w:trHeight w:val="315"/>
        </w:trPr>
        <w:tc>
          <w:tcPr>
            <w:tcW w:w="1370" w:type="dxa"/>
            <w:noWrap/>
            <w:hideMark/>
          </w:tcPr>
          <w:p w14:paraId="31B00273" w14:textId="77777777" w:rsidR="00010983" w:rsidRPr="00E17D14" w:rsidRDefault="00010983" w:rsidP="00FD26B8">
            <w:pPr>
              <w:rPr>
                <w:szCs w:val="24"/>
              </w:rPr>
            </w:pPr>
            <w:r w:rsidRPr="00E17D14">
              <w:rPr>
                <w:szCs w:val="24"/>
              </w:rPr>
              <w:t>DA</w:t>
            </w:r>
          </w:p>
        </w:tc>
        <w:tc>
          <w:tcPr>
            <w:tcW w:w="1583" w:type="dxa"/>
            <w:noWrap/>
            <w:hideMark/>
          </w:tcPr>
          <w:p w14:paraId="485AC739" w14:textId="77777777" w:rsidR="00010983" w:rsidRPr="00E17D14" w:rsidRDefault="00010983" w:rsidP="00FD26B8">
            <w:pPr>
              <w:jc w:val="center"/>
              <w:rPr>
                <w:szCs w:val="24"/>
              </w:rPr>
            </w:pPr>
            <w:r w:rsidRPr="00844F5B">
              <w:rPr>
                <w:rFonts w:cs="Times New Roman"/>
                <w:szCs w:val="24"/>
              </w:rPr>
              <w:t>-4.663</w:t>
            </w:r>
          </w:p>
        </w:tc>
        <w:tc>
          <w:tcPr>
            <w:tcW w:w="1890" w:type="dxa"/>
            <w:noWrap/>
            <w:hideMark/>
          </w:tcPr>
          <w:p w14:paraId="5D99C08E" w14:textId="77777777" w:rsidR="00010983" w:rsidRPr="00E17D14" w:rsidRDefault="00010983" w:rsidP="00FD26B8">
            <w:pPr>
              <w:jc w:val="center"/>
              <w:rPr>
                <w:szCs w:val="24"/>
              </w:rPr>
            </w:pPr>
            <w:r w:rsidRPr="00844F5B">
              <w:rPr>
                <w:rFonts w:cs="Times New Roman"/>
                <w:szCs w:val="24"/>
              </w:rPr>
              <w:t>-5.407</w:t>
            </w:r>
          </w:p>
        </w:tc>
        <w:tc>
          <w:tcPr>
            <w:tcW w:w="449" w:type="dxa"/>
            <w:tcBorders>
              <w:top w:val="nil"/>
              <w:bottom w:val="nil"/>
            </w:tcBorders>
            <w:noWrap/>
            <w:hideMark/>
          </w:tcPr>
          <w:p w14:paraId="6E7CE22C" w14:textId="77777777" w:rsidR="00010983" w:rsidRPr="00E17D14" w:rsidRDefault="00010983" w:rsidP="00FD26B8">
            <w:pPr>
              <w:jc w:val="center"/>
              <w:rPr>
                <w:szCs w:val="24"/>
              </w:rPr>
            </w:pPr>
          </w:p>
        </w:tc>
        <w:tc>
          <w:tcPr>
            <w:tcW w:w="1710" w:type="dxa"/>
            <w:noWrap/>
            <w:hideMark/>
          </w:tcPr>
          <w:p w14:paraId="47FDA2FA" w14:textId="77777777" w:rsidR="00010983" w:rsidRPr="00E17D14" w:rsidRDefault="00010983" w:rsidP="00FD26B8">
            <w:pPr>
              <w:jc w:val="center"/>
              <w:rPr>
                <w:szCs w:val="24"/>
              </w:rPr>
            </w:pPr>
            <w:r w:rsidRPr="00E17D14">
              <w:rPr>
                <w:szCs w:val="24"/>
              </w:rPr>
              <w:t>-4.663092</w:t>
            </w:r>
          </w:p>
        </w:tc>
        <w:tc>
          <w:tcPr>
            <w:tcW w:w="1800" w:type="dxa"/>
            <w:noWrap/>
            <w:hideMark/>
          </w:tcPr>
          <w:p w14:paraId="6862275C" w14:textId="77777777" w:rsidR="00010983" w:rsidRPr="00E17D14" w:rsidRDefault="00010983" w:rsidP="00FD26B8">
            <w:pPr>
              <w:jc w:val="center"/>
              <w:rPr>
                <w:szCs w:val="24"/>
              </w:rPr>
            </w:pPr>
            <w:r w:rsidRPr="00E17D14">
              <w:rPr>
                <w:szCs w:val="24"/>
              </w:rPr>
              <w:t>-5.406506</w:t>
            </w:r>
          </w:p>
        </w:tc>
      </w:tr>
      <w:tr w:rsidR="00010983" w:rsidRPr="00E17D14" w14:paraId="038FB19C" w14:textId="77777777" w:rsidTr="00FD26B8">
        <w:trPr>
          <w:trHeight w:val="315"/>
        </w:trPr>
        <w:tc>
          <w:tcPr>
            <w:tcW w:w="1370" w:type="dxa"/>
            <w:noWrap/>
            <w:hideMark/>
          </w:tcPr>
          <w:p w14:paraId="71639D60" w14:textId="77777777" w:rsidR="00010983" w:rsidRPr="00E17D14" w:rsidRDefault="00010983" w:rsidP="00FD26B8">
            <w:pPr>
              <w:rPr>
                <w:szCs w:val="24"/>
              </w:rPr>
            </w:pPr>
            <w:r w:rsidRPr="00E17D14">
              <w:rPr>
                <w:szCs w:val="24"/>
              </w:rPr>
              <w:t>CR</w:t>
            </w:r>
          </w:p>
        </w:tc>
        <w:tc>
          <w:tcPr>
            <w:tcW w:w="1583" w:type="dxa"/>
            <w:noWrap/>
            <w:hideMark/>
          </w:tcPr>
          <w:p w14:paraId="15994FFB" w14:textId="77777777" w:rsidR="00010983" w:rsidRPr="00E17D14" w:rsidRDefault="00010983" w:rsidP="00FD26B8">
            <w:pPr>
              <w:jc w:val="center"/>
              <w:rPr>
                <w:szCs w:val="24"/>
              </w:rPr>
            </w:pPr>
            <w:r w:rsidRPr="00844F5B">
              <w:rPr>
                <w:rFonts w:cs="Times New Roman"/>
                <w:szCs w:val="24"/>
              </w:rPr>
              <w:t>-1.528</w:t>
            </w:r>
          </w:p>
        </w:tc>
        <w:tc>
          <w:tcPr>
            <w:tcW w:w="1890" w:type="dxa"/>
            <w:noWrap/>
            <w:hideMark/>
          </w:tcPr>
          <w:p w14:paraId="359E1D70" w14:textId="77777777" w:rsidR="00010983" w:rsidRPr="00E17D14" w:rsidRDefault="00010983" w:rsidP="00FD26B8">
            <w:pPr>
              <w:jc w:val="center"/>
              <w:rPr>
                <w:szCs w:val="24"/>
              </w:rPr>
            </w:pPr>
            <w:r w:rsidRPr="00844F5B">
              <w:rPr>
                <w:rFonts w:cs="Times New Roman"/>
                <w:szCs w:val="24"/>
              </w:rPr>
              <w:t>.733</w:t>
            </w:r>
          </w:p>
        </w:tc>
        <w:tc>
          <w:tcPr>
            <w:tcW w:w="449" w:type="dxa"/>
            <w:tcBorders>
              <w:top w:val="nil"/>
              <w:bottom w:val="nil"/>
            </w:tcBorders>
            <w:noWrap/>
            <w:hideMark/>
          </w:tcPr>
          <w:p w14:paraId="0DDC0F95" w14:textId="77777777" w:rsidR="00010983" w:rsidRPr="00E17D14" w:rsidRDefault="00010983" w:rsidP="00FD26B8">
            <w:pPr>
              <w:jc w:val="center"/>
              <w:rPr>
                <w:szCs w:val="24"/>
              </w:rPr>
            </w:pPr>
          </w:p>
        </w:tc>
        <w:tc>
          <w:tcPr>
            <w:tcW w:w="1710" w:type="dxa"/>
            <w:noWrap/>
            <w:hideMark/>
          </w:tcPr>
          <w:p w14:paraId="4E4E7BF4" w14:textId="77777777" w:rsidR="00010983" w:rsidRPr="00E17D14" w:rsidRDefault="00010983" w:rsidP="00FD26B8">
            <w:pPr>
              <w:jc w:val="center"/>
              <w:rPr>
                <w:szCs w:val="24"/>
              </w:rPr>
            </w:pPr>
            <w:r w:rsidRPr="00E17D14">
              <w:rPr>
                <w:szCs w:val="24"/>
              </w:rPr>
              <w:t>-1.527626</w:t>
            </w:r>
          </w:p>
        </w:tc>
        <w:tc>
          <w:tcPr>
            <w:tcW w:w="1800" w:type="dxa"/>
            <w:noWrap/>
            <w:hideMark/>
          </w:tcPr>
          <w:p w14:paraId="33F61BA7" w14:textId="77777777" w:rsidR="00010983" w:rsidRPr="00E17D14" w:rsidRDefault="00010983" w:rsidP="00FD26B8">
            <w:pPr>
              <w:jc w:val="center"/>
              <w:rPr>
                <w:szCs w:val="24"/>
              </w:rPr>
            </w:pPr>
            <w:r w:rsidRPr="00E17D14">
              <w:rPr>
                <w:szCs w:val="24"/>
              </w:rPr>
              <w:t>0.7331058</w:t>
            </w:r>
          </w:p>
        </w:tc>
      </w:tr>
      <w:tr w:rsidR="00010983" w:rsidRPr="00E17D14" w14:paraId="449F5AA8" w14:textId="77777777" w:rsidTr="00FD26B8">
        <w:trPr>
          <w:trHeight w:val="315"/>
        </w:trPr>
        <w:tc>
          <w:tcPr>
            <w:tcW w:w="1370" w:type="dxa"/>
            <w:noWrap/>
            <w:hideMark/>
          </w:tcPr>
          <w:p w14:paraId="3A9D5C47" w14:textId="77777777" w:rsidR="00010983" w:rsidRPr="00E17D14" w:rsidRDefault="00010983" w:rsidP="00FD26B8">
            <w:pPr>
              <w:rPr>
                <w:szCs w:val="24"/>
              </w:rPr>
            </w:pPr>
            <w:r w:rsidRPr="00E17D14">
              <w:rPr>
                <w:szCs w:val="24"/>
              </w:rPr>
              <w:t>ROE</w:t>
            </w:r>
          </w:p>
        </w:tc>
        <w:tc>
          <w:tcPr>
            <w:tcW w:w="1583" w:type="dxa"/>
            <w:noWrap/>
            <w:hideMark/>
          </w:tcPr>
          <w:p w14:paraId="41E9E8E2" w14:textId="77777777" w:rsidR="00010983" w:rsidRPr="00E17D14" w:rsidRDefault="00010983" w:rsidP="00FD26B8">
            <w:pPr>
              <w:jc w:val="center"/>
              <w:rPr>
                <w:szCs w:val="24"/>
              </w:rPr>
            </w:pPr>
            <w:r w:rsidRPr="00844F5B">
              <w:rPr>
                <w:rFonts w:cs="Times New Roman"/>
                <w:szCs w:val="24"/>
              </w:rPr>
              <w:t>-8.286</w:t>
            </w:r>
          </w:p>
        </w:tc>
        <w:tc>
          <w:tcPr>
            <w:tcW w:w="1890" w:type="dxa"/>
            <w:noWrap/>
            <w:hideMark/>
          </w:tcPr>
          <w:p w14:paraId="4597FED1" w14:textId="77777777" w:rsidR="00010983" w:rsidRPr="00E17D14" w:rsidRDefault="00010983" w:rsidP="00FD26B8">
            <w:pPr>
              <w:jc w:val="center"/>
              <w:rPr>
                <w:szCs w:val="24"/>
              </w:rPr>
            </w:pPr>
            <w:r w:rsidRPr="00844F5B">
              <w:rPr>
                <w:rFonts w:cs="Times New Roman"/>
                <w:szCs w:val="24"/>
              </w:rPr>
              <w:t>-1.17</w:t>
            </w:r>
          </w:p>
        </w:tc>
        <w:tc>
          <w:tcPr>
            <w:tcW w:w="449" w:type="dxa"/>
            <w:tcBorders>
              <w:top w:val="nil"/>
              <w:bottom w:val="nil"/>
            </w:tcBorders>
            <w:noWrap/>
            <w:hideMark/>
          </w:tcPr>
          <w:p w14:paraId="73177429" w14:textId="77777777" w:rsidR="00010983" w:rsidRPr="00E17D14" w:rsidRDefault="00010983" w:rsidP="00FD26B8">
            <w:pPr>
              <w:jc w:val="center"/>
              <w:rPr>
                <w:szCs w:val="24"/>
              </w:rPr>
            </w:pPr>
          </w:p>
        </w:tc>
        <w:tc>
          <w:tcPr>
            <w:tcW w:w="1710" w:type="dxa"/>
            <w:noWrap/>
            <w:hideMark/>
          </w:tcPr>
          <w:p w14:paraId="65D039BC" w14:textId="77777777" w:rsidR="00010983" w:rsidRPr="00E17D14" w:rsidRDefault="00010983" w:rsidP="00FD26B8">
            <w:pPr>
              <w:jc w:val="center"/>
              <w:rPr>
                <w:szCs w:val="24"/>
              </w:rPr>
            </w:pPr>
            <w:r w:rsidRPr="00E17D14">
              <w:rPr>
                <w:szCs w:val="24"/>
              </w:rPr>
              <w:t>-8.285582</w:t>
            </w:r>
          </w:p>
        </w:tc>
        <w:tc>
          <w:tcPr>
            <w:tcW w:w="1800" w:type="dxa"/>
            <w:noWrap/>
            <w:hideMark/>
          </w:tcPr>
          <w:p w14:paraId="0043D06B" w14:textId="77777777" w:rsidR="00010983" w:rsidRPr="00E17D14" w:rsidRDefault="00010983" w:rsidP="00FD26B8">
            <w:pPr>
              <w:jc w:val="center"/>
              <w:rPr>
                <w:szCs w:val="24"/>
              </w:rPr>
            </w:pPr>
            <w:r w:rsidRPr="00E17D14">
              <w:rPr>
                <w:szCs w:val="24"/>
              </w:rPr>
              <w:t>-1.170462</w:t>
            </w:r>
          </w:p>
        </w:tc>
      </w:tr>
      <w:tr w:rsidR="00010983" w:rsidRPr="00E17D14" w14:paraId="5E77F9ED" w14:textId="77777777" w:rsidTr="00FD26B8">
        <w:trPr>
          <w:trHeight w:val="315"/>
        </w:trPr>
        <w:tc>
          <w:tcPr>
            <w:tcW w:w="1370" w:type="dxa"/>
            <w:noWrap/>
            <w:hideMark/>
          </w:tcPr>
          <w:p w14:paraId="3065CB4E" w14:textId="77777777" w:rsidR="00010983" w:rsidRPr="00E17D14" w:rsidRDefault="00010983" w:rsidP="00FD26B8">
            <w:pPr>
              <w:rPr>
                <w:szCs w:val="24"/>
              </w:rPr>
            </w:pPr>
            <w:r w:rsidRPr="00E17D14">
              <w:rPr>
                <w:szCs w:val="24"/>
              </w:rPr>
              <w:t>BS</w:t>
            </w:r>
          </w:p>
        </w:tc>
        <w:tc>
          <w:tcPr>
            <w:tcW w:w="1583" w:type="dxa"/>
            <w:noWrap/>
            <w:hideMark/>
          </w:tcPr>
          <w:p w14:paraId="4C354341" w14:textId="77777777" w:rsidR="00010983" w:rsidRPr="00E17D14" w:rsidRDefault="00010983" w:rsidP="00FD26B8">
            <w:pPr>
              <w:jc w:val="center"/>
              <w:rPr>
                <w:szCs w:val="24"/>
              </w:rPr>
            </w:pPr>
            <w:r w:rsidRPr="00844F5B">
              <w:rPr>
                <w:rFonts w:cs="Times New Roman"/>
                <w:szCs w:val="24"/>
              </w:rPr>
              <w:t>.899</w:t>
            </w:r>
          </w:p>
        </w:tc>
        <w:tc>
          <w:tcPr>
            <w:tcW w:w="1890" w:type="dxa"/>
            <w:noWrap/>
            <w:hideMark/>
          </w:tcPr>
          <w:p w14:paraId="3261FF3D" w14:textId="77777777" w:rsidR="00010983" w:rsidRPr="00E17D14" w:rsidRDefault="00010983" w:rsidP="00FD26B8">
            <w:pPr>
              <w:jc w:val="center"/>
              <w:rPr>
                <w:szCs w:val="24"/>
              </w:rPr>
            </w:pPr>
            <w:r w:rsidRPr="00844F5B">
              <w:rPr>
                <w:rFonts w:cs="Times New Roman"/>
                <w:szCs w:val="24"/>
              </w:rPr>
              <w:t>.67</w:t>
            </w:r>
          </w:p>
        </w:tc>
        <w:tc>
          <w:tcPr>
            <w:tcW w:w="449" w:type="dxa"/>
            <w:tcBorders>
              <w:top w:val="nil"/>
              <w:bottom w:val="nil"/>
            </w:tcBorders>
            <w:noWrap/>
            <w:hideMark/>
          </w:tcPr>
          <w:p w14:paraId="74898CD7" w14:textId="77777777" w:rsidR="00010983" w:rsidRPr="00E17D14" w:rsidRDefault="00010983" w:rsidP="00FD26B8">
            <w:pPr>
              <w:jc w:val="center"/>
              <w:rPr>
                <w:szCs w:val="24"/>
              </w:rPr>
            </w:pPr>
          </w:p>
        </w:tc>
        <w:tc>
          <w:tcPr>
            <w:tcW w:w="1710" w:type="dxa"/>
            <w:noWrap/>
            <w:hideMark/>
          </w:tcPr>
          <w:p w14:paraId="5BED1176" w14:textId="77777777" w:rsidR="00010983" w:rsidRPr="00E17D14" w:rsidRDefault="00010983" w:rsidP="00FD26B8">
            <w:pPr>
              <w:jc w:val="center"/>
              <w:rPr>
                <w:szCs w:val="24"/>
              </w:rPr>
            </w:pPr>
            <w:r w:rsidRPr="00E17D14">
              <w:rPr>
                <w:szCs w:val="24"/>
              </w:rPr>
              <w:t>0.8994423</w:t>
            </w:r>
          </w:p>
        </w:tc>
        <w:tc>
          <w:tcPr>
            <w:tcW w:w="1800" w:type="dxa"/>
            <w:noWrap/>
            <w:hideMark/>
          </w:tcPr>
          <w:p w14:paraId="30C3B15D" w14:textId="77777777" w:rsidR="00010983" w:rsidRPr="00E17D14" w:rsidRDefault="00010983" w:rsidP="00FD26B8">
            <w:pPr>
              <w:jc w:val="center"/>
              <w:rPr>
                <w:szCs w:val="24"/>
              </w:rPr>
            </w:pPr>
            <w:r w:rsidRPr="00E17D14">
              <w:rPr>
                <w:szCs w:val="24"/>
              </w:rPr>
              <w:t>0.6697512</w:t>
            </w:r>
          </w:p>
        </w:tc>
      </w:tr>
      <w:tr w:rsidR="00010983" w:rsidRPr="00E17D14" w14:paraId="4C51B2FB" w14:textId="77777777" w:rsidTr="00FD26B8">
        <w:trPr>
          <w:trHeight w:val="530"/>
        </w:trPr>
        <w:tc>
          <w:tcPr>
            <w:tcW w:w="1370" w:type="dxa"/>
            <w:noWrap/>
            <w:hideMark/>
          </w:tcPr>
          <w:p w14:paraId="3BBBDB54" w14:textId="77777777" w:rsidR="00010983" w:rsidRPr="00E17D14" w:rsidRDefault="00010983" w:rsidP="00FD26B8">
            <w:pPr>
              <w:rPr>
                <w:szCs w:val="24"/>
              </w:rPr>
            </w:pPr>
            <w:r w:rsidRPr="00E17D14">
              <w:rPr>
                <w:szCs w:val="24"/>
              </w:rPr>
              <w:t>CAR</w:t>
            </w:r>
          </w:p>
        </w:tc>
        <w:tc>
          <w:tcPr>
            <w:tcW w:w="1583" w:type="dxa"/>
            <w:noWrap/>
            <w:hideMark/>
          </w:tcPr>
          <w:p w14:paraId="30DA0460" w14:textId="77777777" w:rsidR="00010983" w:rsidRPr="00E17D14" w:rsidRDefault="00010983" w:rsidP="00FD26B8">
            <w:pPr>
              <w:jc w:val="center"/>
              <w:rPr>
                <w:szCs w:val="24"/>
              </w:rPr>
            </w:pPr>
            <w:r w:rsidRPr="00844F5B">
              <w:rPr>
                <w:rFonts w:cs="Times New Roman"/>
                <w:szCs w:val="24"/>
              </w:rPr>
              <w:t>-3.558</w:t>
            </w:r>
          </w:p>
        </w:tc>
        <w:tc>
          <w:tcPr>
            <w:tcW w:w="1890" w:type="dxa"/>
            <w:noWrap/>
            <w:hideMark/>
          </w:tcPr>
          <w:p w14:paraId="36E6AF11" w14:textId="77777777" w:rsidR="00010983" w:rsidRPr="00E17D14" w:rsidRDefault="00010983" w:rsidP="00FD26B8">
            <w:pPr>
              <w:jc w:val="center"/>
              <w:rPr>
                <w:szCs w:val="24"/>
              </w:rPr>
            </w:pPr>
            <w:r w:rsidRPr="00844F5B">
              <w:rPr>
                <w:rFonts w:cs="Times New Roman"/>
                <w:szCs w:val="24"/>
              </w:rPr>
              <w:t>-4.003</w:t>
            </w:r>
          </w:p>
        </w:tc>
        <w:tc>
          <w:tcPr>
            <w:tcW w:w="449" w:type="dxa"/>
            <w:tcBorders>
              <w:top w:val="nil"/>
              <w:bottom w:val="nil"/>
            </w:tcBorders>
            <w:noWrap/>
            <w:hideMark/>
          </w:tcPr>
          <w:p w14:paraId="4AD6F0FF" w14:textId="77777777" w:rsidR="00010983" w:rsidRPr="00E17D14" w:rsidRDefault="00010983" w:rsidP="00FD26B8">
            <w:pPr>
              <w:jc w:val="center"/>
              <w:rPr>
                <w:szCs w:val="24"/>
              </w:rPr>
            </w:pPr>
          </w:p>
        </w:tc>
        <w:tc>
          <w:tcPr>
            <w:tcW w:w="1710" w:type="dxa"/>
            <w:noWrap/>
            <w:hideMark/>
          </w:tcPr>
          <w:p w14:paraId="32E84DF7" w14:textId="77777777" w:rsidR="00010983" w:rsidRPr="00E17D14" w:rsidRDefault="00010983" w:rsidP="00FD26B8">
            <w:pPr>
              <w:jc w:val="center"/>
              <w:rPr>
                <w:szCs w:val="24"/>
              </w:rPr>
            </w:pPr>
            <w:r w:rsidRPr="00E17D14">
              <w:rPr>
                <w:szCs w:val="24"/>
              </w:rPr>
              <w:t>-3.558342</w:t>
            </w:r>
          </w:p>
        </w:tc>
        <w:tc>
          <w:tcPr>
            <w:tcW w:w="1800" w:type="dxa"/>
            <w:noWrap/>
            <w:hideMark/>
          </w:tcPr>
          <w:p w14:paraId="1503C2B7" w14:textId="77777777" w:rsidR="00010983" w:rsidRPr="00E17D14" w:rsidRDefault="00010983" w:rsidP="00FD26B8">
            <w:pPr>
              <w:jc w:val="center"/>
              <w:rPr>
                <w:szCs w:val="24"/>
              </w:rPr>
            </w:pPr>
            <w:r w:rsidRPr="00E17D14">
              <w:rPr>
                <w:szCs w:val="24"/>
              </w:rPr>
              <w:t>-4.00349</w:t>
            </w:r>
          </w:p>
        </w:tc>
      </w:tr>
      <w:tr w:rsidR="00010983" w:rsidRPr="00E17D14" w14:paraId="77B8DD30" w14:textId="77777777" w:rsidTr="00FD26B8">
        <w:trPr>
          <w:trHeight w:val="368"/>
        </w:trPr>
        <w:tc>
          <w:tcPr>
            <w:tcW w:w="1370" w:type="dxa"/>
            <w:noWrap/>
          </w:tcPr>
          <w:p w14:paraId="754C327A" w14:textId="77777777" w:rsidR="00010983" w:rsidRPr="00E17D14" w:rsidRDefault="00010983" w:rsidP="00FD26B8">
            <w:pPr>
              <w:rPr>
                <w:szCs w:val="24"/>
              </w:rPr>
            </w:pPr>
          </w:p>
        </w:tc>
        <w:tc>
          <w:tcPr>
            <w:tcW w:w="1583" w:type="dxa"/>
            <w:noWrap/>
          </w:tcPr>
          <w:p w14:paraId="073976B9" w14:textId="77777777" w:rsidR="00010983" w:rsidRPr="00E17D14" w:rsidRDefault="00010983" w:rsidP="00FD26B8">
            <w:pPr>
              <w:jc w:val="center"/>
              <w:rPr>
                <w:szCs w:val="24"/>
              </w:rPr>
            </w:pPr>
          </w:p>
        </w:tc>
        <w:tc>
          <w:tcPr>
            <w:tcW w:w="1890" w:type="dxa"/>
            <w:noWrap/>
          </w:tcPr>
          <w:p w14:paraId="428C492F" w14:textId="77777777" w:rsidR="00010983" w:rsidRPr="00E17D14" w:rsidRDefault="00010983" w:rsidP="00FD26B8">
            <w:pPr>
              <w:jc w:val="center"/>
              <w:rPr>
                <w:szCs w:val="24"/>
              </w:rPr>
            </w:pPr>
          </w:p>
        </w:tc>
        <w:tc>
          <w:tcPr>
            <w:tcW w:w="449" w:type="dxa"/>
            <w:tcBorders>
              <w:top w:val="nil"/>
              <w:bottom w:val="nil"/>
            </w:tcBorders>
            <w:noWrap/>
          </w:tcPr>
          <w:p w14:paraId="1AE06FD6" w14:textId="77777777" w:rsidR="00010983" w:rsidRPr="00E17D14" w:rsidRDefault="00010983" w:rsidP="00FD26B8">
            <w:pPr>
              <w:jc w:val="center"/>
              <w:rPr>
                <w:szCs w:val="24"/>
              </w:rPr>
            </w:pPr>
          </w:p>
        </w:tc>
        <w:tc>
          <w:tcPr>
            <w:tcW w:w="1710" w:type="dxa"/>
            <w:noWrap/>
          </w:tcPr>
          <w:p w14:paraId="2F2F1D77" w14:textId="77777777" w:rsidR="00010983" w:rsidRPr="00E17D14" w:rsidRDefault="00010983" w:rsidP="00FD26B8">
            <w:pPr>
              <w:jc w:val="center"/>
              <w:rPr>
                <w:szCs w:val="24"/>
              </w:rPr>
            </w:pPr>
          </w:p>
        </w:tc>
        <w:tc>
          <w:tcPr>
            <w:tcW w:w="1800" w:type="dxa"/>
            <w:noWrap/>
          </w:tcPr>
          <w:p w14:paraId="3D8A24F7" w14:textId="77777777" w:rsidR="00010983" w:rsidRPr="00E17D14" w:rsidRDefault="00010983" w:rsidP="00FD26B8">
            <w:pPr>
              <w:jc w:val="center"/>
              <w:rPr>
                <w:szCs w:val="24"/>
              </w:rPr>
            </w:pPr>
          </w:p>
        </w:tc>
      </w:tr>
      <w:tr w:rsidR="00010983" w:rsidRPr="00E17D14" w14:paraId="4138C43B" w14:textId="77777777" w:rsidTr="00FD26B8">
        <w:trPr>
          <w:trHeight w:val="440"/>
        </w:trPr>
        <w:tc>
          <w:tcPr>
            <w:tcW w:w="2953" w:type="dxa"/>
            <w:gridSpan w:val="2"/>
            <w:noWrap/>
          </w:tcPr>
          <w:p w14:paraId="0A0A62E4" w14:textId="77777777" w:rsidR="00010983" w:rsidRPr="00E17D14" w:rsidRDefault="00010983" w:rsidP="00FD26B8">
            <w:pPr>
              <w:rPr>
                <w:szCs w:val="24"/>
              </w:rPr>
            </w:pPr>
            <w:r w:rsidRPr="00E17D14">
              <w:rPr>
                <w:szCs w:val="24"/>
              </w:rPr>
              <w:t>Chi square</w:t>
            </w:r>
          </w:p>
        </w:tc>
        <w:tc>
          <w:tcPr>
            <w:tcW w:w="1890" w:type="dxa"/>
            <w:noWrap/>
          </w:tcPr>
          <w:p w14:paraId="4B808065" w14:textId="77777777" w:rsidR="00010983" w:rsidRPr="00D35933" w:rsidRDefault="00010983" w:rsidP="00FD26B8">
            <w:pPr>
              <w:jc w:val="center"/>
              <w:rPr>
                <w:szCs w:val="24"/>
              </w:rPr>
            </w:pPr>
            <w:r w:rsidRPr="00D35933">
              <w:rPr>
                <w:rFonts w:cs="Times New Roman"/>
                <w:szCs w:val="24"/>
              </w:rPr>
              <w:t>5.021</w:t>
            </w:r>
          </w:p>
        </w:tc>
        <w:tc>
          <w:tcPr>
            <w:tcW w:w="449" w:type="dxa"/>
            <w:tcBorders>
              <w:top w:val="nil"/>
              <w:bottom w:val="nil"/>
            </w:tcBorders>
            <w:noWrap/>
          </w:tcPr>
          <w:p w14:paraId="1BCA8C0B" w14:textId="77777777" w:rsidR="00010983" w:rsidRPr="00E17D14" w:rsidRDefault="00010983" w:rsidP="00FD26B8">
            <w:pPr>
              <w:jc w:val="center"/>
              <w:rPr>
                <w:szCs w:val="24"/>
              </w:rPr>
            </w:pPr>
          </w:p>
        </w:tc>
        <w:tc>
          <w:tcPr>
            <w:tcW w:w="1710" w:type="dxa"/>
            <w:noWrap/>
          </w:tcPr>
          <w:p w14:paraId="446B444F" w14:textId="77777777" w:rsidR="00010983" w:rsidRPr="00E17D14" w:rsidRDefault="00010983" w:rsidP="00FD26B8">
            <w:pPr>
              <w:jc w:val="center"/>
              <w:rPr>
                <w:szCs w:val="24"/>
              </w:rPr>
            </w:pPr>
          </w:p>
        </w:tc>
        <w:tc>
          <w:tcPr>
            <w:tcW w:w="1800" w:type="dxa"/>
            <w:noWrap/>
          </w:tcPr>
          <w:p w14:paraId="62285B05" w14:textId="77777777" w:rsidR="00010983" w:rsidRPr="001F4F43" w:rsidRDefault="00010983" w:rsidP="00FD26B8">
            <w:pPr>
              <w:jc w:val="center"/>
              <w:rPr>
                <w:szCs w:val="24"/>
              </w:rPr>
            </w:pPr>
            <w:r w:rsidRPr="001F4F43">
              <w:rPr>
                <w:rFonts w:cs="Times New Roman"/>
                <w:szCs w:val="24"/>
              </w:rPr>
              <w:t>4.3</w:t>
            </w:r>
          </w:p>
        </w:tc>
      </w:tr>
      <w:tr w:rsidR="00010983" w:rsidRPr="00E17D14" w14:paraId="03F27B2C" w14:textId="77777777" w:rsidTr="00FD26B8">
        <w:trPr>
          <w:trHeight w:val="315"/>
        </w:trPr>
        <w:tc>
          <w:tcPr>
            <w:tcW w:w="2953" w:type="dxa"/>
            <w:gridSpan w:val="2"/>
            <w:noWrap/>
          </w:tcPr>
          <w:p w14:paraId="39CCD71D" w14:textId="77777777" w:rsidR="00010983" w:rsidRPr="00E17D14" w:rsidRDefault="00010983" w:rsidP="00FD26B8">
            <w:pPr>
              <w:rPr>
                <w:szCs w:val="24"/>
              </w:rPr>
            </w:pPr>
            <w:r w:rsidRPr="00E17D14">
              <w:rPr>
                <w:szCs w:val="24"/>
              </w:rPr>
              <w:t>Probability Value</w:t>
            </w:r>
          </w:p>
        </w:tc>
        <w:tc>
          <w:tcPr>
            <w:tcW w:w="1890" w:type="dxa"/>
            <w:noWrap/>
          </w:tcPr>
          <w:p w14:paraId="0265388C" w14:textId="77777777" w:rsidR="00010983" w:rsidRPr="00D35933" w:rsidRDefault="00010983" w:rsidP="00FD26B8">
            <w:pPr>
              <w:jc w:val="center"/>
              <w:rPr>
                <w:szCs w:val="24"/>
              </w:rPr>
            </w:pPr>
            <w:r w:rsidRPr="00D35933">
              <w:rPr>
                <w:rFonts w:cs="Times New Roman"/>
                <w:szCs w:val="24"/>
              </w:rPr>
              <w:t>.413</w:t>
            </w:r>
          </w:p>
        </w:tc>
        <w:tc>
          <w:tcPr>
            <w:tcW w:w="449" w:type="dxa"/>
            <w:tcBorders>
              <w:top w:val="nil"/>
              <w:bottom w:val="nil"/>
            </w:tcBorders>
            <w:noWrap/>
          </w:tcPr>
          <w:p w14:paraId="00371181" w14:textId="77777777" w:rsidR="00010983" w:rsidRPr="00E17D14" w:rsidRDefault="00010983" w:rsidP="00FD26B8">
            <w:pPr>
              <w:jc w:val="center"/>
              <w:rPr>
                <w:szCs w:val="24"/>
              </w:rPr>
            </w:pPr>
          </w:p>
        </w:tc>
        <w:tc>
          <w:tcPr>
            <w:tcW w:w="1710" w:type="dxa"/>
            <w:noWrap/>
          </w:tcPr>
          <w:p w14:paraId="5BA72FA5" w14:textId="77777777" w:rsidR="00010983" w:rsidRPr="00E17D14" w:rsidRDefault="00010983" w:rsidP="00FD26B8">
            <w:pPr>
              <w:jc w:val="center"/>
              <w:rPr>
                <w:szCs w:val="24"/>
              </w:rPr>
            </w:pPr>
          </w:p>
        </w:tc>
        <w:tc>
          <w:tcPr>
            <w:tcW w:w="1800" w:type="dxa"/>
            <w:noWrap/>
          </w:tcPr>
          <w:p w14:paraId="37DBBD1B" w14:textId="77777777" w:rsidR="00010983" w:rsidRPr="001F4F43" w:rsidRDefault="00010983" w:rsidP="00FD26B8">
            <w:pPr>
              <w:jc w:val="center"/>
              <w:rPr>
                <w:szCs w:val="24"/>
              </w:rPr>
            </w:pPr>
            <w:r w:rsidRPr="001F4F43">
              <w:rPr>
                <w:rFonts w:cs="Times New Roman"/>
                <w:szCs w:val="24"/>
              </w:rPr>
              <w:t>.507</w:t>
            </w:r>
          </w:p>
        </w:tc>
      </w:tr>
      <w:tr w:rsidR="00010983" w:rsidRPr="00E17D14" w14:paraId="0594AE74" w14:textId="77777777" w:rsidTr="00FD26B8">
        <w:trPr>
          <w:trHeight w:val="315"/>
        </w:trPr>
        <w:tc>
          <w:tcPr>
            <w:tcW w:w="2953" w:type="dxa"/>
            <w:gridSpan w:val="2"/>
            <w:noWrap/>
          </w:tcPr>
          <w:p w14:paraId="086BE99B" w14:textId="77777777" w:rsidR="00010983" w:rsidRPr="00E17D14" w:rsidRDefault="00010983" w:rsidP="00FD26B8">
            <w:pPr>
              <w:rPr>
                <w:b/>
                <w:bCs/>
                <w:szCs w:val="24"/>
              </w:rPr>
            </w:pPr>
            <w:r w:rsidRPr="00E17D14">
              <w:rPr>
                <w:b/>
                <w:bCs/>
                <w:szCs w:val="24"/>
              </w:rPr>
              <w:t>Chosen Model</w:t>
            </w:r>
          </w:p>
        </w:tc>
        <w:tc>
          <w:tcPr>
            <w:tcW w:w="1890" w:type="dxa"/>
            <w:noWrap/>
          </w:tcPr>
          <w:p w14:paraId="2EED8FA4" w14:textId="77777777" w:rsidR="00010983" w:rsidRPr="00E17D14" w:rsidRDefault="00010983" w:rsidP="00FD26B8">
            <w:pPr>
              <w:rPr>
                <w:b/>
                <w:bCs/>
                <w:szCs w:val="24"/>
              </w:rPr>
            </w:pPr>
            <w:r w:rsidRPr="00E17D14">
              <w:rPr>
                <w:b/>
                <w:bCs/>
                <w:szCs w:val="24"/>
              </w:rPr>
              <w:t>Random Effect</w:t>
            </w:r>
          </w:p>
        </w:tc>
        <w:tc>
          <w:tcPr>
            <w:tcW w:w="449" w:type="dxa"/>
            <w:tcBorders>
              <w:top w:val="nil"/>
              <w:bottom w:val="nil"/>
            </w:tcBorders>
            <w:noWrap/>
          </w:tcPr>
          <w:p w14:paraId="6AAC401F" w14:textId="77777777" w:rsidR="00010983" w:rsidRPr="00E17D14" w:rsidRDefault="00010983" w:rsidP="00FD26B8">
            <w:pPr>
              <w:rPr>
                <w:b/>
                <w:bCs/>
                <w:szCs w:val="24"/>
              </w:rPr>
            </w:pPr>
          </w:p>
        </w:tc>
        <w:tc>
          <w:tcPr>
            <w:tcW w:w="1710" w:type="dxa"/>
            <w:noWrap/>
          </w:tcPr>
          <w:p w14:paraId="6D24D248" w14:textId="77777777" w:rsidR="00010983" w:rsidRPr="00E17D14" w:rsidRDefault="00010983" w:rsidP="00FD26B8">
            <w:pPr>
              <w:rPr>
                <w:b/>
                <w:bCs/>
                <w:szCs w:val="24"/>
              </w:rPr>
            </w:pPr>
          </w:p>
        </w:tc>
        <w:tc>
          <w:tcPr>
            <w:tcW w:w="1800" w:type="dxa"/>
            <w:noWrap/>
          </w:tcPr>
          <w:p w14:paraId="38A3F903" w14:textId="77777777" w:rsidR="00010983" w:rsidRPr="00E17D14" w:rsidRDefault="00010983" w:rsidP="00FD26B8">
            <w:pPr>
              <w:rPr>
                <w:b/>
                <w:bCs/>
                <w:szCs w:val="24"/>
              </w:rPr>
            </w:pPr>
            <w:r w:rsidRPr="00E17D14">
              <w:rPr>
                <w:b/>
                <w:bCs/>
                <w:szCs w:val="24"/>
              </w:rPr>
              <w:t>Random Effect</w:t>
            </w:r>
          </w:p>
        </w:tc>
      </w:tr>
    </w:tbl>
    <w:p w14:paraId="33F53AC2" w14:textId="77777777" w:rsidR="00010983" w:rsidRDefault="00010983" w:rsidP="00010983"/>
    <w:p w14:paraId="61DBFB2B" w14:textId="77777777" w:rsidR="00010983" w:rsidRDefault="00010983" w:rsidP="00010983">
      <w:r>
        <w:t>As a result of Hausman test, H</w:t>
      </w:r>
      <w:r w:rsidRPr="00026715">
        <w:rPr>
          <w:vertAlign w:val="subscript"/>
        </w:rPr>
        <w:t>0</w:t>
      </w:r>
      <w:r>
        <w:t xml:space="preserve"> hypothesis was not rejected in both conventional and Islamic banks and it was concluded that the random effects model is efficient. </w:t>
      </w:r>
    </w:p>
    <w:p w14:paraId="4F3F8087" w14:textId="77777777" w:rsidR="00010983" w:rsidRPr="00C150E5" w:rsidRDefault="00010983" w:rsidP="00C17D90">
      <w:pPr>
        <w:pStyle w:val="Heading3"/>
      </w:pPr>
      <w:bookmarkStart w:id="33" w:name="_Toc48682031"/>
      <w:r w:rsidRPr="00C150E5">
        <w:t xml:space="preserve">Diagnostic </w:t>
      </w:r>
      <w:r>
        <w:t>T</w:t>
      </w:r>
      <w:r w:rsidRPr="00C150E5">
        <w:t>est</w:t>
      </w:r>
      <w:r>
        <w:t>s</w:t>
      </w:r>
      <w:bookmarkEnd w:id="33"/>
      <w:r w:rsidRPr="00C150E5">
        <w:t xml:space="preserve"> </w:t>
      </w:r>
    </w:p>
    <w:p w14:paraId="1422630C" w14:textId="77777777" w:rsidR="00715D86" w:rsidRDefault="00010983" w:rsidP="00010983">
      <w:r>
        <w:t xml:space="preserve">To gauge the quality of the estimates </w:t>
      </w:r>
      <w:r w:rsidRPr="00D93500">
        <w:t xml:space="preserve">in the continuation of the analysis, various tests were conducted </w:t>
      </w:r>
      <w:r w:rsidR="00C92CED">
        <w:t>to</w:t>
      </w:r>
      <w:r w:rsidR="00715D86">
        <w:t xml:space="preserve"> check the </w:t>
      </w:r>
      <w:r w:rsidR="00715D86" w:rsidRPr="00D93500">
        <w:t>presence</w:t>
      </w:r>
      <w:r w:rsidRPr="00D93500">
        <w:t xml:space="preserve"> of </w:t>
      </w:r>
      <w:r w:rsidR="00715D86" w:rsidRPr="00D93500">
        <w:t>heteroscedasticity</w:t>
      </w:r>
      <w:r w:rsidR="00715D86">
        <w:t>,</w:t>
      </w:r>
      <w:r w:rsidR="00715D86" w:rsidRPr="00D93500">
        <w:t xml:space="preserve"> </w:t>
      </w:r>
      <w:r w:rsidRPr="00D93500">
        <w:t xml:space="preserve">autocorrelation, and inter-unit correlation </w:t>
      </w:r>
    </w:p>
    <w:p w14:paraId="5232A810" w14:textId="68A09441" w:rsidR="00010983" w:rsidRDefault="00715D86" w:rsidP="00010983">
      <w:r>
        <w:t xml:space="preserve">With respect to </w:t>
      </w:r>
      <w:r w:rsidRPr="00D93500">
        <w:t>autocorrelation test</w:t>
      </w:r>
      <w:r w:rsidR="00FC6333">
        <w:t xml:space="preserve">, </w:t>
      </w:r>
      <w:r w:rsidR="007D0B48">
        <w:t xml:space="preserve">using </w:t>
      </w:r>
      <w:r w:rsidR="00FC6333" w:rsidRPr="00D93500">
        <w:t xml:space="preserve">the Durbin-Watson and Baltaqi-Wu LBI </w:t>
      </w:r>
      <w:r w:rsidR="00922229" w:rsidRPr="00D93500">
        <w:t xml:space="preserve">test </w:t>
      </w:r>
      <w:r w:rsidR="00922229">
        <w:t>we</w:t>
      </w:r>
      <w:r w:rsidR="007D0B48">
        <w:t xml:space="preserve"> rejected the null hypothesis </w:t>
      </w:r>
      <w:r w:rsidR="00045EAC">
        <w:t xml:space="preserve">of no autocorrelation. Therefore, the </w:t>
      </w:r>
      <w:r w:rsidR="00FC6333" w:rsidRPr="00D93500">
        <w:t>autocorrelation was found in the model</w:t>
      </w:r>
      <w:r w:rsidR="00922229">
        <w:t xml:space="preserve">s of conventional banks and Islamic banks. </w:t>
      </w:r>
    </w:p>
    <w:p w14:paraId="251A462B" w14:textId="125FE061" w:rsidR="00150F26" w:rsidRDefault="00CF6BFD" w:rsidP="00010983">
      <w:r>
        <w:t xml:space="preserve">As well, the </w:t>
      </w:r>
      <w:r w:rsidRPr="00D93500">
        <w:t xml:space="preserve">heteroscedasticity </w:t>
      </w:r>
      <w:r>
        <w:t xml:space="preserve">of the models </w:t>
      </w:r>
      <w:r w:rsidR="00355C78">
        <w:t>is</w:t>
      </w:r>
      <w:r>
        <w:t xml:space="preserve"> tested using </w:t>
      </w:r>
      <w:r w:rsidR="00010983" w:rsidRPr="00D93500">
        <w:t>Modified Wald test results</w:t>
      </w:r>
      <w:r w:rsidR="00355C78">
        <w:t>.</w:t>
      </w:r>
      <w:r w:rsidR="00010983" w:rsidRPr="00D93500">
        <w:t xml:space="preserve"> </w:t>
      </w:r>
      <w:r>
        <w:t xml:space="preserve">We did not reject the null of no </w:t>
      </w:r>
      <w:r w:rsidR="00150F26" w:rsidRPr="00D93500">
        <w:t>heteroscedasticity</w:t>
      </w:r>
      <w:r w:rsidR="005C6468">
        <w:t xml:space="preserve">. </w:t>
      </w:r>
      <w:r w:rsidR="008237CC">
        <w:t>Therefore,</w:t>
      </w:r>
      <w:r w:rsidR="00010983" w:rsidRPr="00D93500">
        <w:t xml:space="preserve"> the </w:t>
      </w:r>
      <w:r w:rsidR="00150F26">
        <w:t>cross-sectional</w:t>
      </w:r>
      <w:r>
        <w:t xml:space="preserve"> units </w:t>
      </w:r>
      <w:r w:rsidR="00150F26">
        <w:t xml:space="preserve">show no </w:t>
      </w:r>
      <w:r w:rsidR="008237CC">
        <w:t>unit’s</w:t>
      </w:r>
      <w:r w:rsidR="00150F26">
        <w:t xml:space="preserve"> </w:t>
      </w:r>
      <w:r w:rsidR="00010983" w:rsidRPr="00D93500">
        <w:t>heteroscedasticity.</w:t>
      </w:r>
    </w:p>
    <w:p w14:paraId="7C7E3053" w14:textId="1CB6E67D" w:rsidR="00010983" w:rsidRDefault="00010983" w:rsidP="00010983">
      <w:r w:rsidRPr="00D93500">
        <w:t>In order to determine the factors affecting liquidity risk in conventional banks</w:t>
      </w:r>
      <w:r w:rsidR="00C260AC">
        <w:t xml:space="preserve"> and Islamic Banks</w:t>
      </w:r>
      <w:r w:rsidRPr="00D93500">
        <w:t xml:space="preserve">, panel data regression analysis </w:t>
      </w:r>
      <w:r w:rsidR="001C32A5">
        <w:t>has been</w:t>
      </w:r>
      <w:r w:rsidRPr="00D93500">
        <w:t xml:space="preserve"> performed with Driscoll-Kraay standard errors resistant estimator </w:t>
      </w:r>
      <w:r w:rsidR="001C32A5">
        <w:t xml:space="preserve">as a result of </w:t>
      </w:r>
      <w:r w:rsidRPr="00D93500">
        <w:t>the presence of autocorrelation in the model</w:t>
      </w:r>
      <w:r w:rsidR="001C32A5">
        <w:t>s</w:t>
      </w:r>
      <w:r w:rsidRPr="00D93500">
        <w:t xml:space="preserve">. The results of these values </w:t>
      </w:r>
      <w:r>
        <w:t xml:space="preserve">for conventional and Islamic banks </w:t>
      </w:r>
      <w:r w:rsidRPr="00D93500">
        <w:t>are given</w:t>
      </w:r>
      <w:r>
        <w:t xml:space="preserve"> in </w:t>
      </w:r>
      <w:r w:rsidR="00BB2125">
        <w:t>T</w:t>
      </w:r>
      <w:r>
        <w:t>able</w:t>
      </w:r>
      <w:r w:rsidR="00BB2125">
        <w:t xml:space="preserve"> 10 &amp; 11. </w:t>
      </w:r>
      <w:r>
        <w:t xml:space="preserve"> </w:t>
      </w:r>
    </w:p>
    <w:p w14:paraId="437813F3" w14:textId="62809D0E" w:rsidR="00010983" w:rsidRDefault="00010983" w:rsidP="00010983">
      <w:pPr>
        <w:pStyle w:val="Caption"/>
        <w:keepNext/>
        <w:spacing w:after="0"/>
        <w:rPr>
          <w:b/>
          <w:bCs/>
          <w:i w:val="0"/>
          <w:iCs w:val="0"/>
          <w:color w:val="auto"/>
          <w:sz w:val="24"/>
          <w:szCs w:val="24"/>
        </w:rPr>
      </w:pPr>
      <w:bookmarkStart w:id="34" w:name="_Ref48676473"/>
      <w:bookmarkStart w:id="35" w:name="_Toc48684287"/>
      <w:r w:rsidRPr="00B97F64">
        <w:rPr>
          <w:b/>
          <w:bCs/>
          <w:i w:val="0"/>
          <w:iCs w:val="0"/>
          <w:color w:val="auto"/>
          <w:sz w:val="24"/>
          <w:szCs w:val="24"/>
        </w:rPr>
        <w:t xml:space="preserve">Table </w:t>
      </w:r>
      <w:r w:rsidR="009E67C3">
        <w:rPr>
          <w:b/>
          <w:bCs/>
          <w:i w:val="0"/>
          <w:iCs w:val="0"/>
          <w:color w:val="auto"/>
          <w:sz w:val="24"/>
          <w:szCs w:val="24"/>
        </w:rPr>
        <w:fldChar w:fldCharType="begin"/>
      </w:r>
      <w:r w:rsidR="009E67C3">
        <w:rPr>
          <w:b/>
          <w:bCs/>
          <w:i w:val="0"/>
          <w:iCs w:val="0"/>
          <w:color w:val="auto"/>
          <w:sz w:val="24"/>
          <w:szCs w:val="24"/>
        </w:rPr>
        <w:instrText xml:space="preserve"> SEQ Table \* ARABIC </w:instrText>
      </w:r>
      <w:r w:rsidR="009E67C3">
        <w:rPr>
          <w:b/>
          <w:bCs/>
          <w:i w:val="0"/>
          <w:iCs w:val="0"/>
          <w:color w:val="auto"/>
          <w:sz w:val="24"/>
          <w:szCs w:val="24"/>
        </w:rPr>
        <w:fldChar w:fldCharType="separate"/>
      </w:r>
      <w:r w:rsidR="00166E8B">
        <w:rPr>
          <w:b/>
          <w:bCs/>
          <w:i w:val="0"/>
          <w:iCs w:val="0"/>
          <w:noProof/>
          <w:color w:val="auto"/>
          <w:sz w:val="24"/>
          <w:szCs w:val="24"/>
        </w:rPr>
        <w:t>10</w:t>
      </w:r>
      <w:r w:rsidR="009E67C3">
        <w:rPr>
          <w:b/>
          <w:bCs/>
          <w:i w:val="0"/>
          <w:iCs w:val="0"/>
          <w:color w:val="auto"/>
          <w:sz w:val="24"/>
          <w:szCs w:val="24"/>
        </w:rPr>
        <w:fldChar w:fldCharType="end"/>
      </w:r>
      <w:bookmarkEnd w:id="34"/>
      <w:r w:rsidRPr="00B97F64">
        <w:rPr>
          <w:b/>
          <w:bCs/>
          <w:i w:val="0"/>
          <w:iCs w:val="0"/>
          <w:color w:val="auto"/>
          <w:sz w:val="24"/>
          <w:szCs w:val="24"/>
        </w:rPr>
        <w:t>: Driscoll-Kraay standard errors- Conventional Banks</w:t>
      </w:r>
      <w:bookmarkEnd w:id="35"/>
      <w:r w:rsidRPr="00B97F64">
        <w:rPr>
          <w:b/>
          <w:bCs/>
          <w:i w:val="0"/>
          <w:iCs w:val="0"/>
          <w:color w:val="auto"/>
          <w:sz w:val="24"/>
          <w:szCs w:val="24"/>
        </w:rPr>
        <w:t xml:space="preserve"> </w:t>
      </w:r>
    </w:p>
    <w:tbl>
      <w:tblPr>
        <w:tblStyle w:val="TableGrid"/>
        <w:tblW w:w="0" w:type="auto"/>
        <w:tblLook w:val="04A0" w:firstRow="1" w:lastRow="0" w:firstColumn="1" w:lastColumn="0" w:noHBand="0" w:noVBand="1"/>
      </w:tblPr>
      <w:tblGrid>
        <w:gridCol w:w="2185"/>
        <w:gridCol w:w="2278"/>
        <w:gridCol w:w="2642"/>
        <w:gridCol w:w="2036"/>
      </w:tblGrid>
      <w:tr w:rsidR="00010983" w:rsidRPr="00A50660" w14:paraId="38F14BD9" w14:textId="77777777" w:rsidTr="00FD26B8">
        <w:trPr>
          <w:trHeight w:val="290"/>
        </w:trPr>
        <w:tc>
          <w:tcPr>
            <w:tcW w:w="2185" w:type="dxa"/>
            <w:noWrap/>
            <w:hideMark/>
          </w:tcPr>
          <w:p w14:paraId="70A235D4" w14:textId="77777777" w:rsidR="00010983" w:rsidRPr="00A50660" w:rsidRDefault="00010983" w:rsidP="00FD26B8">
            <w:pPr>
              <w:jc w:val="center"/>
              <w:rPr>
                <w:b/>
                <w:bCs/>
                <w:szCs w:val="24"/>
              </w:rPr>
            </w:pPr>
            <w:r w:rsidRPr="00A50660">
              <w:rPr>
                <w:b/>
                <w:bCs/>
                <w:szCs w:val="24"/>
              </w:rPr>
              <w:t>Variable</w:t>
            </w:r>
          </w:p>
        </w:tc>
        <w:tc>
          <w:tcPr>
            <w:tcW w:w="2278" w:type="dxa"/>
            <w:noWrap/>
            <w:hideMark/>
          </w:tcPr>
          <w:p w14:paraId="19F7FD14" w14:textId="77777777" w:rsidR="00010983" w:rsidRPr="00A50660" w:rsidRDefault="00010983" w:rsidP="00F54EFE">
            <w:pPr>
              <w:jc w:val="center"/>
              <w:rPr>
                <w:b/>
                <w:bCs/>
                <w:szCs w:val="24"/>
              </w:rPr>
            </w:pPr>
            <w:r w:rsidRPr="00A50660">
              <w:rPr>
                <w:b/>
                <w:bCs/>
                <w:szCs w:val="24"/>
              </w:rPr>
              <w:t>fixed</w:t>
            </w:r>
          </w:p>
        </w:tc>
        <w:tc>
          <w:tcPr>
            <w:tcW w:w="2642" w:type="dxa"/>
            <w:noWrap/>
            <w:hideMark/>
          </w:tcPr>
          <w:p w14:paraId="59B4B3DE" w14:textId="77777777" w:rsidR="00010983" w:rsidRPr="00A50660" w:rsidRDefault="00010983" w:rsidP="00F54EFE">
            <w:pPr>
              <w:jc w:val="center"/>
              <w:rPr>
                <w:b/>
                <w:bCs/>
                <w:szCs w:val="24"/>
              </w:rPr>
            </w:pPr>
            <w:r w:rsidRPr="00A50660">
              <w:rPr>
                <w:b/>
                <w:bCs/>
                <w:szCs w:val="24"/>
              </w:rPr>
              <w:t>dris_kraay</w:t>
            </w:r>
          </w:p>
        </w:tc>
        <w:tc>
          <w:tcPr>
            <w:tcW w:w="2036" w:type="dxa"/>
            <w:noWrap/>
            <w:hideMark/>
          </w:tcPr>
          <w:p w14:paraId="0465300E" w14:textId="77777777" w:rsidR="00010983" w:rsidRPr="00A50660" w:rsidRDefault="00010983" w:rsidP="00F54EFE">
            <w:pPr>
              <w:jc w:val="center"/>
              <w:rPr>
                <w:b/>
                <w:bCs/>
                <w:szCs w:val="24"/>
              </w:rPr>
            </w:pPr>
            <w:r w:rsidRPr="00A50660">
              <w:rPr>
                <w:b/>
                <w:bCs/>
                <w:szCs w:val="24"/>
              </w:rPr>
              <w:t>random</w:t>
            </w:r>
          </w:p>
        </w:tc>
      </w:tr>
      <w:tr w:rsidR="00010983" w:rsidRPr="00A50660" w14:paraId="2888173C" w14:textId="77777777" w:rsidTr="00FD26B8">
        <w:trPr>
          <w:trHeight w:val="290"/>
        </w:trPr>
        <w:tc>
          <w:tcPr>
            <w:tcW w:w="2185" w:type="dxa"/>
            <w:noWrap/>
            <w:hideMark/>
          </w:tcPr>
          <w:p w14:paraId="1BF7979B" w14:textId="77777777" w:rsidR="00010983" w:rsidRPr="00A50660" w:rsidRDefault="00010983" w:rsidP="00FD26B8">
            <w:pPr>
              <w:rPr>
                <w:szCs w:val="24"/>
              </w:rPr>
            </w:pPr>
            <w:r w:rsidRPr="00A50660">
              <w:rPr>
                <w:szCs w:val="24"/>
              </w:rPr>
              <w:t>DA</w:t>
            </w:r>
          </w:p>
        </w:tc>
        <w:tc>
          <w:tcPr>
            <w:tcW w:w="2278" w:type="dxa"/>
            <w:noWrap/>
            <w:hideMark/>
          </w:tcPr>
          <w:p w14:paraId="047FCBA3" w14:textId="034CCA94" w:rsidR="00010983" w:rsidRPr="00A50660" w:rsidRDefault="00010983" w:rsidP="00F54EFE">
            <w:pPr>
              <w:jc w:val="center"/>
              <w:rPr>
                <w:szCs w:val="24"/>
              </w:rPr>
            </w:pPr>
            <w:r w:rsidRPr="00A50660">
              <w:rPr>
                <w:szCs w:val="24"/>
              </w:rPr>
              <w:t>0.4635</w:t>
            </w:r>
          </w:p>
        </w:tc>
        <w:tc>
          <w:tcPr>
            <w:tcW w:w="2642" w:type="dxa"/>
            <w:noWrap/>
            <w:hideMark/>
          </w:tcPr>
          <w:p w14:paraId="35B3D3C7" w14:textId="34045334" w:rsidR="00010983" w:rsidRPr="00A50660" w:rsidRDefault="00010983" w:rsidP="00F54EFE">
            <w:pPr>
              <w:jc w:val="center"/>
              <w:rPr>
                <w:szCs w:val="24"/>
              </w:rPr>
            </w:pPr>
            <w:r w:rsidRPr="00A50660">
              <w:rPr>
                <w:szCs w:val="24"/>
              </w:rPr>
              <w:t xml:space="preserve">0.5013 </w:t>
            </w:r>
            <w:r>
              <w:rPr>
                <w:szCs w:val="24"/>
              </w:rPr>
              <w:t>***</w:t>
            </w:r>
          </w:p>
        </w:tc>
        <w:tc>
          <w:tcPr>
            <w:tcW w:w="2036" w:type="dxa"/>
            <w:noWrap/>
            <w:hideMark/>
          </w:tcPr>
          <w:p w14:paraId="4ED04F89" w14:textId="74AA5044" w:rsidR="00010983" w:rsidRPr="00A50660" w:rsidRDefault="00010983" w:rsidP="00F54EFE">
            <w:pPr>
              <w:jc w:val="center"/>
              <w:rPr>
                <w:szCs w:val="24"/>
              </w:rPr>
            </w:pPr>
            <w:r w:rsidRPr="00A50660">
              <w:rPr>
                <w:szCs w:val="24"/>
              </w:rPr>
              <w:t>0.5013</w:t>
            </w:r>
          </w:p>
        </w:tc>
      </w:tr>
      <w:tr w:rsidR="00010983" w:rsidRPr="00A50660" w14:paraId="567CBF27" w14:textId="77777777" w:rsidTr="00FD26B8">
        <w:trPr>
          <w:trHeight w:val="290"/>
        </w:trPr>
        <w:tc>
          <w:tcPr>
            <w:tcW w:w="2185" w:type="dxa"/>
            <w:noWrap/>
            <w:hideMark/>
          </w:tcPr>
          <w:p w14:paraId="07F011D2" w14:textId="77777777" w:rsidR="00010983" w:rsidRPr="00A50660" w:rsidRDefault="00010983" w:rsidP="00FD26B8">
            <w:pPr>
              <w:rPr>
                <w:szCs w:val="24"/>
              </w:rPr>
            </w:pPr>
            <w:r w:rsidRPr="00A50660">
              <w:rPr>
                <w:szCs w:val="24"/>
              </w:rPr>
              <w:t> </w:t>
            </w:r>
          </w:p>
        </w:tc>
        <w:tc>
          <w:tcPr>
            <w:tcW w:w="2278" w:type="dxa"/>
            <w:noWrap/>
            <w:hideMark/>
          </w:tcPr>
          <w:p w14:paraId="1FE86189" w14:textId="67E15458" w:rsidR="00010983" w:rsidRPr="00A50660" w:rsidRDefault="00010983" w:rsidP="00F54EFE">
            <w:pPr>
              <w:jc w:val="center"/>
              <w:rPr>
                <w:szCs w:val="24"/>
              </w:rPr>
            </w:pPr>
            <w:r w:rsidRPr="00A50660">
              <w:rPr>
                <w:szCs w:val="24"/>
              </w:rPr>
              <w:t>0.8853</w:t>
            </w:r>
          </w:p>
        </w:tc>
        <w:tc>
          <w:tcPr>
            <w:tcW w:w="2642" w:type="dxa"/>
            <w:noWrap/>
            <w:hideMark/>
          </w:tcPr>
          <w:p w14:paraId="30F279BF" w14:textId="693C207B" w:rsidR="00010983" w:rsidRPr="00A50660" w:rsidRDefault="00010983" w:rsidP="00F54EFE">
            <w:pPr>
              <w:jc w:val="center"/>
              <w:rPr>
                <w:szCs w:val="24"/>
              </w:rPr>
            </w:pPr>
            <w:r w:rsidRPr="00A50660">
              <w:rPr>
                <w:szCs w:val="24"/>
              </w:rPr>
              <w:t>0.1476</w:t>
            </w:r>
          </w:p>
        </w:tc>
        <w:tc>
          <w:tcPr>
            <w:tcW w:w="2036" w:type="dxa"/>
            <w:noWrap/>
            <w:hideMark/>
          </w:tcPr>
          <w:p w14:paraId="613557F8" w14:textId="7F3100C5" w:rsidR="00010983" w:rsidRPr="00A50660" w:rsidRDefault="00010983" w:rsidP="00F54EFE">
            <w:pPr>
              <w:jc w:val="center"/>
              <w:rPr>
                <w:szCs w:val="24"/>
              </w:rPr>
            </w:pPr>
            <w:r w:rsidRPr="00A50660">
              <w:rPr>
                <w:szCs w:val="24"/>
              </w:rPr>
              <w:t>0.8480</w:t>
            </w:r>
          </w:p>
        </w:tc>
      </w:tr>
      <w:tr w:rsidR="00010983" w:rsidRPr="00A50660" w14:paraId="44A8FE09" w14:textId="77777777" w:rsidTr="00FD26B8">
        <w:trPr>
          <w:trHeight w:val="290"/>
        </w:trPr>
        <w:tc>
          <w:tcPr>
            <w:tcW w:w="2185" w:type="dxa"/>
            <w:noWrap/>
            <w:hideMark/>
          </w:tcPr>
          <w:p w14:paraId="0ABE10E4" w14:textId="77777777" w:rsidR="00010983" w:rsidRPr="00A50660" w:rsidRDefault="00010983" w:rsidP="00FD26B8">
            <w:pPr>
              <w:rPr>
                <w:szCs w:val="24"/>
              </w:rPr>
            </w:pPr>
            <w:r w:rsidRPr="00A50660">
              <w:rPr>
                <w:szCs w:val="24"/>
              </w:rPr>
              <w:t> </w:t>
            </w:r>
          </w:p>
        </w:tc>
        <w:tc>
          <w:tcPr>
            <w:tcW w:w="2278" w:type="dxa"/>
            <w:noWrap/>
            <w:hideMark/>
          </w:tcPr>
          <w:p w14:paraId="389AA683" w14:textId="52275BA8" w:rsidR="00010983" w:rsidRPr="00A50660" w:rsidRDefault="00010983" w:rsidP="00F54EFE">
            <w:pPr>
              <w:jc w:val="center"/>
              <w:rPr>
                <w:szCs w:val="24"/>
              </w:rPr>
            </w:pPr>
            <w:r w:rsidRPr="00A50660">
              <w:rPr>
                <w:szCs w:val="24"/>
              </w:rPr>
              <w:t>0.5200</w:t>
            </w:r>
          </w:p>
        </w:tc>
        <w:tc>
          <w:tcPr>
            <w:tcW w:w="2642" w:type="dxa"/>
            <w:noWrap/>
            <w:hideMark/>
          </w:tcPr>
          <w:p w14:paraId="1FF2C576" w14:textId="1305E605" w:rsidR="00010983" w:rsidRPr="00A50660" w:rsidRDefault="00010983" w:rsidP="00F54EFE">
            <w:pPr>
              <w:jc w:val="center"/>
              <w:rPr>
                <w:szCs w:val="24"/>
              </w:rPr>
            </w:pPr>
            <w:r w:rsidRPr="00A50660">
              <w:rPr>
                <w:szCs w:val="24"/>
              </w:rPr>
              <w:t>3.4000</w:t>
            </w:r>
          </w:p>
        </w:tc>
        <w:tc>
          <w:tcPr>
            <w:tcW w:w="2036" w:type="dxa"/>
            <w:noWrap/>
            <w:hideMark/>
          </w:tcPr>
          <w:p w14:paraId="3F8DF97D" w14:textId="54623610" w:rsidR="00010983" w:rsidRPr="00A50660" w:rsidRDefault="00010983" w:rsidP="00F54EFE">
            <w:pPr>
              <w:jc w:val="center"/>
              <w:rPr>
                <w:szCs w:val="24"/>
              </w:rPr>
            </w:pPr>
            <w:r w:rsidRPr="00A50660">
              <w:rPr>
                <w:szCs w:val="24"/>
              </w:rPr>
              <w:t>0.5900</w:t>
            </w:r>
          </w:p>
        </w:tc>
      </w:tr>
      <w:tr w:rsidR="00010983" w:rsidRPr="00A50660" w14:paraId="2FC4D882" w14:textId="77777777" w:rsidTr="00FD26B8">
        <w:trPr>
          <w:trHeight w:val="290"/>
        </w:trPr>
        <w:tc>
          <w:tcPr>
            <w:tcW w:w="2185" w:type="dxa"/>
            <w:noWrap/>
            <w:hideMark/>
          </w:tcPr>
          <w:p w14:paraId="22268001" w14:textId="77777777" w:rsidR="00010983" w:rsidRPr="00A50660" w:rsidRDefault="00010983" w:rsidP="00FD26B8">
            <w:pPr>
              <w:rPr>
                <w:szCs w:val="24"/>
              </w:rPr>
            </w:pPr>
            <w:r w:rsidRPr="00A50660">
              <w:rPr>
                <w:szCs w:val="24"/>
              </w:rPr>
              <w:t>CR</w:t>
            </w:r>
          </w:p>
        </w:tc>
        <w:tc>
          <w:tcPr>
            <w:tcW w:w="2278" w:type="dxa"/>
            <w:noWrap/>
            <w:hideMark/>
          </w:tcPr>
          <w:p w14:paraId="3A096CF2" w14:textId="3F0FCC55" w:rsidR="00010983" w:rsidRPr="00A50660" w:rsidRDefault="00010983" w:rsidP="00F54EFE">
            <w:pPr>
              <w:jc w:val="center"/>
              <w:rPr>
                <w:szCs w:val="24"/>
              </w:rPr>
            </w:pPr>
            <w:r w:rsidRPr="00A50660">
              <w:rPr>
                <w:szCs w:val="24"/>
              </w:rPr>
              <w:t>1.1228</w:t>
            </w:r>
          </w:p>
        </w:tc>
        <w:tc>
          <w:tcPr>
            <w:tcW w:w="2642" w:type="dxa"/>
            <w:noWrap/>
            <w:hideMark/>
          </w:tcPr>
          <w:p w14:paraId="16A55DCD" w14:textId="216A66A1" w:rsidR="00010983" w:rsidRPr="00A50660" w:rsidRDefault="00010983" w:rsidP="00F54EFE">
            <w:pPr>
              <w:jc w:val="center"/>
              <w:rPr>
                <w:szCs w:val="24"/>
              </w:rPr>
            </w:pPr>
            <w:r w:rsidRPr="00A50660">
              <w:rPr>
                <w:szCs w:val="24"/>
              </w:rPr>
              <w:t>0.1965</w:t>
            </w:r>
          </w:p>
        </w:tc>
        <w:tc>
          <w:tcPr>
            <w:tcW w:w="2036" w:type="dxa"/>
            <w:noWrap/>
            <w:hideMark/>
          </w:tcPr>
          <w:p w14:paraId="610C4BCD" w14:textId="553D9590" w:rsidR="00010983" w:rsidRPr="00A50660" w:rsidRDefault="00010983" w:rsidP="00F54EFE">
            <w:pPr>
              <w:jc w:val="center"/>
              <w:rPr>
                <w:szCs w:val="24"/>
              </w:rPr>
            </w:pPr>
            <w:r w:rsidRPr="00A50660">
              <w:rPr>
                <w:szCs w:val="24"/>
              </w:rPr>
              <w:t>0.1965</w:t>
            </w:r>
          </w:p>
        </w:tc>
      </w:tr>
      <w:tr w:rsidR="00010983" w:rsidRPr="00A50660" w14:paraId="5B019316" w14:textId="77777777" w:rsidTr="00FD26B8">
        <w:trPr>
          <w:trHeight w:val="290"/>
        </w:trPr>
        <w:tc>
          <w:tcPr>
            <w:tcW w:w="2185" w:type="dxa"/>
            <w:noWrap/>
            <w:hideMark/>
          </w:tcPr>
          <w:p w14:paraId="2DB2AF52" w14:textId="77777777" w:rsidR="00010983" w:rsidRPr="00A50660" w:rsidRDefault="00010983" w:rsidP="00FD26B8">
            <w:pPr>
              <w:rPr>
                <w:szCs w:val="24"/>
              </w:rPr>
            </w:pPr>
            <w:r w:rsidRPr="00A50660">
              <w:rPr>
                <w:szCs w:val="24"/>
              </w:rPr>
              <w:t> </w:t>
            </w:r>
          </w:p>
        </w:tc>
        <w:tc>
          <w:tcPr>
            <w:tcW w:w="2278" w:type="dxa"/>
            <w:noWrap/>
            <w:hideMark/>
          </w:tcPr>
          <w:p w14:paraId="3AFCAA31" w14:textId="22747AA5" w:rsidR="00010983" w:rsidRPr="00A50660" w:rsidRDefault="00010983" w:rsidP="00F54EFE">
            <w:pPr>
              <w:jc w:val="center"/>
              <w:rPr>
                <w:szCs w:val="24"/>
              </w:rPr>
            </w:pPr>
            <w:r w:rsidRPr="00A50660">
              <w:rPr>
                <w:szCs w:val="24"/>
              </w:rPr>
              <w:t>1.8433</w:t>
            </w:r>
          </w:p>
        </w:tc>
        <w:tc>
          <w:tcPr>
            <w:tcW w:w="2642" w:type="dxa"/>
            <w:noWrap/>
            <w:hideMark/>
          </w:tcPr>
          <w:p w14:paraId="0A19E5A2" w14:textId="1857D2D0" w:rsidR="00010983" w:rsidRPr="00A50660" w:rsidRDefault="00010983" w:rsidP="00F54EFE">
            <w:pPr>
              <w:jc w:val="center"/>
              <w:rPr>
                <w:szCs w:val="24"/>
              </w:rPr>
            </w:pPr>
            <w:r w:rsidRPr="00A50660">
              <w:rPr>
                <w:szCs w:val="24"/>
              </w:rPr>
              <w:t>0.3600</w:t>
            </w:r>
          </w:p>
        </w:tc>
        <w:tc>
          <w:tcPr>
            <w:tcW w:w="2036" w:type="dxa"/>
            <w:noWrap/>
            <w:hideMark/>
          </w:tcPr>
          <w:p w14:paraId="1E8B2470" w14:textId="1E809186" w:rsidR="00010983" w:rsidRPr="00A50660" w:rsidRDefault="00010983" w:rsidP="00F54EFE">
            <w:pPr>
              <w:jc w:val="center"/>
              <w:rPr>
                <w:szCs w:val="24"/>
              </w:rPr>
            </w:pPr>
            <w:r w:rsidRPr="00A50660">
              <w:rPr>
                <w:szCs w:val="24"/>
              </w:rPr>
              <w:t>1.2221</w:t>
            </w:r>
          </w:p>
        </w:tc>
      </w:tr>
      <w:tr w:rsidR="00010983" w:rsidRPr="00A50660" w14:paraId="71CD753C" w14:textId="77777777" w:rsidTr="00FD26B8">
        <w:trPr>
          <w:trHeight w:val="290"/>
        </w:trPr>
        <w:tc>
          <w:tcPr>
            <w:tcW w:w="2185" w:type="dxa"/>
            <w:noWrap/>
            <w:hideMark/>
          </w:tcPr>
          <w:p w14:paraId="667487E2" w14:textId="77777777" w:rsidR="00010983" w:rsidRPr="00A50660" w:rsidRDefault="00010983" w:rsidP="00FD26B8">
            <w:pPr>
              <w:rPr>
                <w:szCs w:val="24"/>
              </w:rPr>
            </w:pPr>
            <w:r w:rsidRPr="00A50660">
              <w:rPr>
                <w:szCs w:val="24"/>
              </w:rPr>
              <w:t> </w:t>
            </w:r>
          </w:p>
        </w:tc>
        <w:tc>
          <w:tcPr>
            <w:tcW w:w="2278" w:type="dxa"/>
            <w:noWrap/>
            <w:hideMark/>
          </w:tcPr>
          <w:p w14:paraId="1F8DE197" w14:textId="60C1502B" w:rsidR="00010983" w:rsidRPr="00A50660" w:rsidRDefault="00010983" w:rsidP="00F54EFE">
            <w:pPr>
              <w:jc w:val="center"/>
              <w:rPr>
                <w:szCs w:val="24"/>
              </w:rPr>
            </w:pPr>
            <w:r w:rsidRPr="00A50660">
              <w:rPr>
                <w:szCs w:val="24"/>
              </w:rPr>
              <w:t>0.6100</w:t>
            </w:r>
          </w:p>
        </w:tc>
        <w:tc>
          <w:tcPr>
            <w:tcW w:w="2642" w:type="dxa"/>
            <w:noWrap/>
            <w:hideMark/>
          </w:tcPr>
          <w:p w14:paraId="21141455" w14:textId="2ED84701" w:rsidR="00010983" w:rsidRPr="00A50660" w:rsidRDefault="00010983" w:rsidP="00F54EFE">
            <w:pPr>
              <w:jc w:val="center"/>
              <w:rPr>
                <w:szCs w:val="24"/>
              </w:rPr>
            </w:pPr>
            <w:r w:rsidRPr="00A50660">
              <w:rPr>
                <w:szCs w:val="24"/>
              </w:rPr>
              <w:t>0.5500</w:t>
            </w:r>
          </w:p>
        </w:tc>
        <w:tc>
          <w:tcPr>
            <w:tcW w:w="2036" w:type="dxa"/>
            <w:noWrap/>
            <w:hideMark/>
          </w:tcPr>
          <w:p w14:paraId="1A5CB661" w14:textId="4972E24A" w:rsidR="00010983" w:rsidRPr="00A50660" w:rsidRDefault="00010983" w:rsidP="00F54EFE">
            <w:pPr>
              <w:jc w:val="center"/>
              <w:rPr>
                <w:szCs w:val="24"/>
              </w:rPr>
            </w:pPr>
            <w:r w:rsidRPr="00A50660">
              <w:rPr>
                <w:szCs w:val="24"/>
              </w:rPr>
              <w:t>0.1600</w:t>
            </w:r>
          </w:p>
        </w:tc>
      </w:tr>
      <w:tr w:rsidR="00010983" w:rsidRPr="00A50660" w14:paraId="32284332" w14:textId="77777777" w:rsidTr="00FD26B8">
        <w:trPr>
          <w:trHeight w:val="290"/>
        </w:trPr>
        <w:tc>
          <w:tcPr>
            <w:tcW w:w="2185" w:type="dxa"/>
            <w:noWrap/>
            <w:hideMark/>
          </w:tcPr>
          <w:p w14:paraId="7217825E" w14:textId="77777777" w:rsidR="00010983" w:rsidRPr="00A50660" w:rsidRDefault="00010983" w:rsidP="00FD26B8">
            <w:pPr>
              <w:rPr>
                <w:szCs w:val="24"/>
              </w:rPr>
            </w:pPr>
            <w:r w:rsidRPr="00A50660">
              <w:rPr>
                <w:szCs w:val="24"/>
              </w:rPr>
              <w:lastRenderedPageBreak/>
              <w:t>ROE</w:t>
            </w:r>
          </w:p>
        </w:tc>
        <w:tc>
          <w:tcPr>
            <w:tcW w:w="2278" w:type="dxa"/>
            <w:noWrap/>
            <w:hideMark/>
          </w:tcPr>
          <w:p w14:paraId="0AF14EDB" w14:textId="18158913" w:rsidR="00010983" w:rsidRPr="00A50660" w:rsidRDefault="00010983" w:rsidP="00F54EFE">
            <w:pPr>
              <w:jc w:val="center"/>
              <w:rPr>
                <w:szCs w:val="24"/>
              </w:rPr>
            </w:pPr>
            <w:r w:rsidRPr="00A50660">
              <w:rPr>
                <w:szCs w:val="24"/>
              </w:rPr>
              <w:t>0.4295</w:t>
            </w:r>
          </w:p>
        </w:tc>
        <w:tc>
          <w:tcPr>
            <w:tcW w:w="2642" w:type="dxa"/>
            <w:noWrap/>
            <w:hideMark/>
          </w:tcPr>
          <w:p w14:paraId="666AE107" w14:textId="0D3860F7" w:rsidR="00010983" w:rsidRPr="00A50660" w:rsidRDefault="00010983" w:rsidP="00F54EFE">
            <w:pPr>
              <w:jc w:val="center"/>
              <w:rPr>
                <w:szCs w:val="24"/>
              </w:rPr>
            </w:pPr>
            <w:r w:rsidRPr="00A50660">
              <w:rPr>
                <w:szCs w:val="24"/>
              </w:rPr>
              <w:t>(0.8342)</w:t>
            </w:r>
            <w:r>
              <w:rPr>
                <w:szCs w:val="24"/>
              </w:rPr>
              <w:t>***</w:t>
            </w:r>
          </w:p>
        </w:tc>
        <w:tc>
          <w:tcPr>
            <w:tcW w:w="2036" w:type="dxa"/>
            <w:noWrap/>
            <w:hideMark/>
          </w:tcPr>
          <w:p w14:paraId="2D47AF99" w14:textId="46ECAD03" w:rsidR="00010983" w:rsidRPr="00A50660" w:rsidRDefault="00010983" w:rsidP="00F54EFE">
            <w:pPr>
              <w:jc w:val="center"/>
              <w:rPr>
                <w:szCs w:val="24"/>
              </w:rPr>
            </w:pPr>
            <w:r w:rsidRPr="00A50660">
              <w:rPr>
                <w:szCs w:val="24"/>
              </w:rPr>
              <w:t>(0.8342)</w:t>
            </w:r>
          </w:p>
        </w:tc>
      </w:tr>
      <w:tr w:rsidR="00010983" w:rsidRPr="00A50660" w14:paraId="24B1F612" w14:textId="77777777" w:rsidTr="00FD26B8">
        <w:trPr>
          <w:trHeight w:val="290"/>
        </w:trPr>
        <w:tc>
          <w:tcPr>
            <w:tcW w:w="2185" w:type="dxa"/>
            <w:noWrap/>
            <w:hideMark/>
          </w:tcPr>
          <w:p w14:paraId="4DA69AFF" w14:textId="77777777" w:rsidR="00010983" w:rsidRPr="00A50660" w:rsidRDefault="00010983" w:rsidP="00FD26B8">
            <w:pPr>
              <w:rPr>
                <w:szCs w:val="24"/>
              </w:rPr>
            </w:pPr>
            <w:r w:rsidRPr="00A50660">
              <w:rPr>
                <w:szCs w:val="24"/>
              </w:rPr>
              <w:t> </w:t>
            </w:r>
          </w:p>
        </w:tc>
        <w:tc>
          <w:tcPr>
            <w:tcW w:w="2278" w:type="dxa"/>
            <w:noWrap/>
            <w:hideMark/>
          </w:tcPr>
          <w:p w14:paraId="0B950D92" w14:textId="64CEC4AB" w:rsidR="00010983" w:rsidRPr="00A50660" w:rsidRDefault="00010983" w:rsidP="00F54EFE">
            <w:pPr>
              <w:jc w:val="center"/>
              <w:rPr>
                <w:szCs w:val="24"/>
              </w:rPr>
            </w:pPr>
            <w:r w:rsidRPr="00A50660">
              <w:rPr>
                <w:szCs w:val="24"/>
              </w:rPr>
              <w:t>1.4104</w:t>
            </w:r>
          </w:p>
        </w:tc>
        <w:tc>
          <w:tcPr>
            <w:tcW w:w="2642" w:type="dxa"/>
            <w:noWrap/>
            <w:hideMark/>
          </w:tcPr>
          <w:p w14:paraId="703640D9" w14:textId="3A46EFCF" w:rsidR="00010983" w:rsidRPr="00A50660" w:rsidRDefault="00010983" w:rsidP="00F54EFE">
            <w:pPr>
              <w:jc w:val="center"/>
              <w:rPr>
                <w:szCs w:val="24"/>
              </w:rPr>
            </w:pPr>
            <w:r w:rsidRPr="00A50660">
              <w:rPr>
                <w:szCs w:val="24"/>
              </w:rPr>
              <w:t>0.2551</w:t>
            </w:r>
          </w:p>
        </w:tc>
        <w:tc>
          <w:tcPr>
            <w:tcW w:w="2036" w:type="dxa"/>
            <w:noWrap/>
            <w:hideMark/>
          </w:tcPr>
          <w:p w14:paraId="6C62C87B" w14:textId="6F007282" w:rsidR="00010983" w:rsidRPr="00A50660" w:rsidRDefault="00010983" w:rsidP="00F54EFE">
            <w:pPr>
              <w:jc w:val="center"/>
              <w:rPr>
                <w:szCs w:val="24"/>
              </w:rPr>
            </w:pPr>
            <w:r w:rsidRPr="00A50660">
              <w:rPr>
                <w:szCs w:val="24"/>
              </w:rPr>
              <w:t>0.7970</w:t>
            </w:r>
          </w:p>
        </w:tc>
      </w:tr>
      <w:tr w:rsidR="00010983" w:rsidRPr="00A50660" w14:paraId="78011773" w14:textId="77777777" w:rsidTr="00FD26B8">
        <w:trPr>
          <w:trHeight w:val="290"/>
        </w:trPr>
        <w:tc>
          <w:tcPr>
            <w:tcW w:w="2185" w:type="dxa"/>
            <w:noWrap/>
            <w:hideMark/>
          </w:tcPr>
          <w:p w14:paraId="5A39CCDB" w14:textId="77777777" w:rsidR="00010983" w:rsidRPr="00A50660" w:rsidRDefault="00010983" w:rsidP="00FD26B8">
            <w:pPr>
              <w:rPr>
                <w:szCs w:val="24"/>
              </w:rPr>
            </w:pPr>
            <w:r w:rsidRPr="00A50660">
              <w:rPr>
                <w:szCs w:val="24"/>
              </w:rPr>
              <w:t> </w:t>
            </w:r>
          </w:p>
        </w:tc>
        <w:tc>
          <w:tcPr>
            <w:tcW w:w="2278" w:type="dxa"/>
            <w:noWrap/>
            <w:hideMark/>
          </w:tcPr>
          <w:p w14:paraId="7674CFDD" w14:textId="4FDDD3A8" w:rsidR="00010983" w:rsidRPr="00A50660" w:rsidRDefault="00010983" w:rsidP="00F54EFE">
            <w:pPr>
              <w:jc w:val="center"/>
              <w:rPr>
                <w:szCs w:val="24"/>
              </w:rPr>
            </w:pPr>
            <w:r w:rsidRPr="00A50660">
              <w:rPr>
                <w:szCs w:val="24"/>
              </w:rPr>
              <w:t>0.3000</w:t>
            </w:r>
          </w:p>
        </w:tc>
        <w:tc>
          <w:tcPr>
            <w:tcW w:w="2642" w:type="dxa"/>
            <w:noWrap/>
            <w:hideMark/>
          </w:tcPr>
          <w:p w14:paraId="7A57371C" w14:textId="0C0DC3E7" w:rsidR="00010983" w:rsidRPr="00A50660" w:rsidRDefault="00010983" w:rsidP="00F54EFE">
            <w:pPr>
              <w:jc w:val="center"/>
              <w:rPr>
                <w:szCs w:val="24"/>
              </w:rPr>
            </w:pPr>
            <w:r w:rsidRPr="00A50660">
              <w:rPr>
                <w:szCs w:val="24"/>
              </w:rPr>
              <w:t>(3.2700)</w:t>
            </w:r>
          </w:p>
        </w:tc>
        <w:tc>
          <w:tcPr>
            <w:tcW w:w="2036" w:type="dxa"/>
            <w:noWrap/>
            <w:hideMark/>
          </w:tcPr>
          <w:p w14:paraId="7EEA27AD" w14:textId="07212FAA" w:rsidR="00010983" w:rsidRPr="00A50660" w:rsidRDefault="00010983" w:rsidP="00F54EFE">
            <w:pPr>
              <w:jc w:val="center"/>
              <w:rPr>
                <w:szCs w:val="24"/>
              </w:rPr>
            </w:pPr>
            <w:r w:rsidRPr="00A50660">
              <w:rPr>
                <w:szCs w:val="24"/>
              </w:rPr>
              <w:t>(1.0500)</w:t>
            </w:r>
          </w:p>
        </w:tc>
      </w:tr>
      <w:tr w:rsidR="00010983" w:rsidRPr="00A50660" w14:paraId="3099D55C" w14:textId="77777777" w:rsidTr="00FD26B8">
        <w:trPr>
          <w:trHeight w:val="290"/>
        </w:trPr>
        <w:tc>
          <w:tcPr>
            <w:tcW w:w="2185" w:type="dxa"/>
            <w:noWrap/>
            <w:hideMark/>
          </w:tcPr>
          <w:p w14:paraId="5CED7D81" w14:textId="77777777" w:rsidR="00010983" w:rsidRPr="00A50660" w:rsidRDefault="00010983" w:rsidP="00FD26B8">
            <w:pPr>
              <w:rPr>
                <w:szCs w:val="24"/>
              </w:rPr>
            </w:pPr>
            <w:r w:rsidRPr="00A50660">
              <w:rPr>
                <w:szCs w:val="24"/>
              </w:rPr>
              <w:t>BS</w:t>
            </w:r>
          </w:p>
        </w:tc>
        <w:tc>
          <w:tcPr>
            <w:tcW w:w="2278" w:type="dxa"/>
            <w:noWrap/>
            <w:hideMark/>
          </w:tcPr>
          <w:p w14:paraId="1DF498E7" w14:textId="4EB8F492" w:rsidR="00010983" w:rsidRPr="00A50660" w:rsidRDefault="00010983" w:rsidP="00F54EFE">
            <w:pPr>
              <w:jc w:val="center"/>
              <w:rPr>
                <w:szCs w:val="24"/>
              </w:rPr>
            </w:pPr>
            <w:r w:rsidRPr="00A50660">
              <w:rPr>
                <w:szCs w:val="24"/>
              </w:rPr>
              <w:t>0.6403</w:t>
            </w:r>
          </w:p>
        </w:tc>
        <w:tc>
          <w:tcPr>
            <w:tcW w:w="2642" w:type="dxa"/>
            <w:noWrap/>
            <w:hideMark/>
          </w:tcPr>
          <w:p w14:paraId="4B9AA3FE" w14:textId="288B513E" w:rsidR="00010983" w:rsidRPr="00A50660" w:rsidRDefault="00010983" w:rsidP="00F54EFE">
            <w:pPr>
              <w:jc w:val="center"/>
              <w:rPr>
                <w:szCs w:val="24"/>
              </w:rPr>
            </w:pPr>
            <w:r w:rsidRPr="00A50660">
              <w:rPr>
                <w:szCs w:val="24"/>
              </w:rPr>
              <w:t xml:space="preserve">0.2698 </w:t>
            </w:r>
            <w:r>
              <w:rPr>
                <w:szCs w:val="24"/>
              </w:rPr>
              <w:t>***</w:t>
            </w:r>
          </w:p>
        </w:tc>
        <w:tc>
          <w:tcPr>
            <w:tcW w:w="2036" w:type="dxa"/>
            <w:noWrap/>
            <w:hideMark/>
          </w:tcPr>
          <w:p w14:paraId="06922B75" w14:textId="591DE06F" w:rsidR="00010983" w:rsidRPr="00A50660" w:rsidRDefault="00010983" w:rsidP="00F54EFE">
            <w:pPr>
              <w:jc w:val="center"/>
              <w:rPr>
                <w:szCs w:val="24"/>
              </w:rPr>
            </w:pPr>
            <w:r w:rsidRPr="00A50660">
              <w:rPr>
                <w:szCs w:val="24"/>
              </w:rPr>
              <w:t>0.2698</w:t>
            </w:r>
          </w:p>
        </w:tc>
      </w:tr>
      <w:tr w:rsidR="00010983" w:rsidRPr="00A50660" w14:paraId="34406965" w14:textId="77777777" w:rsidTr="00FD26B8">
        <w:trPr>
          <w:trHeight w:val="290"/>
        </w:trPr>
        <w:tc>
          <w:tcPr>
            <w:tcW w:w="2185" w:type="dxa"/>
            <w:noWrap/>
            <w:hideMark/>
          </w:tcPr>
          <w:p w14:paraId="189B0A8F" w14:textId="77777777" w:rsidR="00010983" w:rsidRPr="00A50660" w:rsidRDefault="00010983" w:rsidP="00FD26B8">
            <w:pPr>
              <w:rPr>
                <w:szCs w:val="24"/>
              </w:rPr>
            </w:pPr>
            <w:r w:rsidRPr="00A50660">
              <w:rPr>
                <w:szCs w:val="24"/>
              </w:rPr>
              <w:t> </w:t>
            </w:r>
          </w:p>
        </w:tc>
        <w:tc>
          <w:tcPr>
            <w:tcW w:w="2278" w:type="dxa"/>
            <w:noWrap/>
            <w:hideMark/>
          </w:tcPr>
          <w:p w14:paraId="0EF0C527" w14:textId="7B902E3B" w:rsidR="00010983" w:rsidRPr="00A50660" w:rsidRDefault="00010983" w:rsidP="00F54EFE">
            <w:pPr>
              <w:jc w:val="center"/>
              <w:rPr>
                <w:szCs w:val="24"/>
              </w:rPr>
            </w:pPr>
            <w:r w:rsidRPr="00A50660">
              <w:rPr>
                <w:szCs w:val="24"/>
              </w:rPr>
              <w:t>0.2490</w:t>
            </w:r>
          </w:p>
        </w:tc>
        <w:tc>
          <w:tcPr>
            <w:tcW w:w="2642" w:type="dxa"/>
            <w:noWrap/>
            <w:hideMark/>
          </w:tcPr>
          <w:p w14:paraId="45C81B4C" w14:textId="74AA801B" w:rsidR="00010983" w:rsidRPr="00A50660" w:rsidRDefault="00010983" w:rsidP="00F54EFE">
            <w:pPr>
              <w:jc w:val="center"/>
              <w:rPr>
                <w:szCs w:val="24"/>
              </w:rPr>
            </w:pPr>
            <w:r w:rsidRPr="00A50660">
              <w:rPr>
                <w:szCs w:val="24"/>
              </w:rPr>
              <w:t>0.0989</w:t>
            </w:r>
          </w:p>
        </w:tc>
        <w:tc>
          <w:tcPr>
            <w:tcW w:w="2036" w:type="dxa"/>
            <w:noWrap/>
            <w:hideMark/>
          </w:tcPr>
          <w:p w14:paraId="28CBF9F1" w14:textId="6EECE8DF" w:rsidR="00010983" w:rsidRPr="00A50660" w:rsidRDefault="00010983" w:rsidP="00F54EFE">
            <w:pPr>
              <w:jc w:val="center"/>
              <w:rPr>
                <w:szCs w:val="24"/>
              </w:rPr>
            </w:pPr>
            <w:r w:rsidRPr="00A50660">
              <w:rPr>
                <w:szCs w:val="24"/>
              </w:rPr>
              <w:t>0.1466</w:t>
            </w:r>
          </w:p>
        </w:tc>
      </w:tr>
      <w:tr w:rsidR="00010983" w:rsidRPr="00A50660" w14:paraId="4C974953" w14:textId="77777777" w:rsidTr="00FD26B8">
        <w:trPr>
          <w:trHeight w:val="290"/>
        </w:trPr>
        <w:tc>
          <w:tcPr>
            <w:tcW w:w="2185" w:type="dxa"/>
            <w:noWrap/>
            <w:hideMark/>
          </w:tcPr>
          <w:p w14:paraId="26180F2D" w14:textId="77777777" w:rsidR="00010983" w:rsidRPr="00A50660" w:rsidRDefault="00010983" w:rsidP="00FD26B8">
            <w:pPr>
              <w:rPr>
                <w:szCs w:val="24"/>
              </w:rPr>
            </w:pPr>
            <w:r w:rsidRPr="00A50660">
              <w:rPr>
                <w:szCs w:val="24"/>
              </w:rPr>
              <w:t> </w:t>
            </w:r>
          </w:p>
        </w:tc>
        <w:tc>
          <w:tcPr>
            <w:tcW w:w="2278" w:type="dxa"/>
            <w:noWrap/>
            <w:hideMark/>
          </w:tcPr>
          <w:p w14:paraId="040AEFC4" w14:textId="738054EF" w:rsidR="00010983" w:rsidRPr="00A50660" w:rsidRDefault="00010983" w:rsidP="00F54EFE">
            <w:pPr>
              <w:jc w:val="center"/>
              <w:rPr>
                <w:szCs w:val="24"/>
              </w:rPr>
            </w:pPr>
            <w:r w:rsidRPr="00A50660">
              <w:rPr>
                <w:szCs w:val="24"/>
              </w:rPr>
              <w:t>2.5700</w:t>
            </w:r>
          </w:p>
        </w:tc>
        <w:tc>
          <w:tcPr>
            <w:tcW w:w="2642" w:type="dxa"/>
            <w:noWrap/>
            <w:hideMark/>
          </w:tcPr>
          <w:p w14:paraId="329CF172" w14:textId="5106885C" w:rsidR="00010983" w:rsidRPr="00A50660" w:rsidRDefault="00010983" w:rsidP="00F54EFE">
            <w:pPr>
              <w:jc w:val="center"/>
              <w:rPr>
                <w:szCs w:val="24"/>
              </w:rPr>
            </w:pPr>
            <w:r w:rsidRPr="00A50660">
              <w:rPr>
                <w:szCs w:val="24"/>
              </w:rPr>
              <w:t>2.7300</w:t>
            </w:r>
          </w:p>
        </w:tc>
        <w:tc>
          <w:tcPr>
            <w:tcW w:w="2036" w:type="dxa"/>
            <w:noWrap/>
            <w:hideMark/>
          </w:tcPr>
          <w:p w14:paraId="49E76194" w14:textId="52D1E03E" w:rsidR="00010983" w:rsidRPr="00A50660" w:rsidRDefault="00010983" w:rsidP="00F54EFE">
            <w:pPr>
              <w:jc w:val="center"/>
              <w:rPr>
                <w:szCs w:val="24"/>
              </w:rPr>
            </w:pPr>
            <w:r w:rsidRPr="00A50660">
              <w:rPr>
                <w:szCs w:val="24"/>
              </w:rPr>
              <w:t>1.8400</w:t>
            </w:r>
          </w:p>
        </w:tc>
      </w:tr>
      <w:tr w:rsidR="00010983" w:rsidRPr="00A50660" w14:paraId="294CD1FF" w14:textId="77777777" w:rsidTr="00FD26B8">
        <w:trPr>
          <w:trHeight w:val="290"/>
        </w:trPr>
        <w:tc>
          <w:tcPr>
            <w:tcW w:w="2185" w:type="dxa"/>
            <w:noWrap/>
            <w:hideMark/>
          </w:tcPr>
          <w:p w14:paraId="62E4D7D5" w14:textId="77777777" w:rsidR="00010983" w:rsidRPr="00A50660" w:rsidRDefault="00010983" w:rsidP="00FD26B8">
            <w:pPr>
              <w:rPr>
                <w:szCs w:val="24"/>
              </w:rPr>
            </w:pPr>
            <w:r w:rsidRPr="00A50660">
              <w:rPr>
                <w:szCs w:val="24"/>
              </w:rPr>
              <w:t>CAR</w:t>
            </w:r>
          </w:p>
        </w:tc>
        <w:tc>
          <w:tcPr>
            <w:tcW w:w="2278" w:type="dxa"/>
            <w:noWrap/>
            <w:hideMark/>
          </w:tcPr>
          <w:p w14:paraId="0038E8B0" w14:textId="5339BCE2" w:rsidR="00010983" w:rsidRPr="00A50660" w:rsidRDefault="00010983" w:rsidP="00F54EFE">
            <w:pPr>
              <w:jc w:val="center"/>
              <w:rPr>
                <w:szCs w:val="24"/>
              </w:rPr>
            </w:pPr>
            <w:r w:rsidRPr="00A50660">
              <w:rPr>
                <w:szCs w:val="24"/>
              </w:rPr>
              <w:t>0.2598</w:t>
            </w:r>
          </w:p>
        </w:tc>
        <w:tc>
          <w:tcPr>
            <w:tcW w:w="2642" w:type="dxa"/>
            <w:noWrap/>
            <w:hideMark/>
          </w:tcPr>
          <w:p w14:paraId="22436767" w14:textId="69101313" w:rsidR="00010983" w:rsidRPr="00A50660" w:rsidRDefault="00010983" w:rsidP="00F54EFE">
            <w:pPr>
              <w:jc w:val="center"/>
              <w:rPr>
                <w:szCs w:val="24"/>
              </w:rPr>
            </w:pPr>
            <w:r w:rsidRPr="00A50660">
              <w:rPr>
                <w:szCs w:val="24"/>
              </w:rPr>
              <w:t>(0.0266)</w:t>
            </w:r>
          </w:p>
        </w:tc>
        <w:tc>
          <w:tcPr>
            <w:tcW w:w="2036" w:type="dxa"/>
            <w:noWrap/>
            <w:hideMark/>
          </w:tcPr>
          <w:p w14:paraId="0EE2AE7E" w14:textId="28B8AC1A" w:rsidR="00010983" w:rsidRPr="00A50660" w:rsidRDefault="00010983" w:rsidP="00F54EFE">
            <w:pPr>
              <w:jc w:val="center"/>
              <w:rPr>
                <w:szCs w:val="24"/>
              </w:rPr>
            </w:pPr>
            <w:r w:rsidRPr="00A50660">
              <w:rPr>
                <w:szCs w:val="24"/>
              </w:rPr>
              <w:t>(0.0266)</w:t>
            </w:r>
          </w:p>
        </w:tc>
      </w:tr>
      <w:tr w:rsidR="00010983" w:rsidRPr="00A50660" w14:paraId="5B9D1D21" w14:textId="77777777" w:rsidTr="00FD26B8">
        <w:trPr>
          <w:trHeight w:val="290"/>
        </w:trPr>
        <w:tc>
          <w:tcPr>
            <w:tcW w:w="2185" w:type="dxa"/>
            <w:noWrap/>
            <w:hideMark/>
          </w:tcPr>
          <w:p w14:paraId="0320DC49" w14:textId="77777777" w:rsidR="00010983" w:rsidRPr="00A50660" w:rsidRDefault="00010983" w:rsidP="00FD26B8">
            <w:pPr>
              <w:rPr>
                <w:szCs w:val="24"/>
              </w:rPr>
            </w:pPr>
            <w:r w:rsidRPr="00A50660">
              <w:rPr>
                <w:szCs w:val="24"/>
              </w:rPr>
              <w:t> </w:t>
            </w:r>
          </w:p>
        </w:tc>
        <w:tc>
          <w:tcPr>
            <w:tcW w:w="2278" w:type="dxa"/>
            <w:noWrap/>
            <w:hideMark/>
          </w:tcPr>
          <w:p w14:paraId="1EAF9C49" w14:textId="0C6BE045" w:rsidR="00010983" w:rsidRPr="00A50660" w:rsidRDefault="00010983" w:rsidP="00F54EFE">
            <w:pPr>
              <w:jc w:val="center"/>
              <w:rPr>
                <w:szCs w:val="24"/>
              </w:rPr>
            </w:pPr>
            <w:r w:rsidRPr="00A50660">
              <w:rPr>
                <w:szCs w:val="24"/>
              </w:rPr>
              <w:t>0.6792</w:t>
            </w:r>
          </w:p>
        </w:tc>
        <w:tc>
          <w:tcPr>
            <w:tcW w:w="2642" w:type="dxa"/>
            <w:noWrap/>
            <w:hideMark/>
          </w:tcPr>
          <w:p w14:paraId="520B661A" w14:textId="63936238" w:rsidR="00010983" w:rsidRPr="00A50660" w:rsidRDefault="00010983" w:rsidP="00F54EFE">
            <w:pPr>
              <w:jc w:val="center"/>
              <w:rPr>
                <w:szCs w:val="24"/>
              </w:rPr>
            </w:pPr>
            <w:r w:rsidRPr="00A50660">
              <w:rPr>
                <w:szCs w:val="24"/>
              </w:rPr>
              <w:t>0.1481</w:t>
            </w:r>
          </w:p>
        </w:tc>
        <w:tc>
          <w:tcPr>
            <w:tcW w:w="2036" w:type="dxa"/>
            <w:noWrap/>
            <w:hideMark/>
          </w:tcPr>
          <w:p w14:paraId="1A58CC2A" w14:textId="355651A5" w:rsidR="00010983" w:rsidRPr="00A50660" w:rsidRDefault="00010983" w:rsidP="00F54EFE">
            <w:pPr>
              <w:jc w:val="center"/>
              <w:rPr>
                <w:szCs w:val="24"/>
              </w:rPr>
            </w:pPr>
            <w:r w:rsidRPr="00A50660">
              <w:rPr>
                <w:szCs w:val="24"/>
              </w:rPr>
              <w:t>0.4917</w:t>
            </w:r>
          </w:p>
        </w:tc>
      </w:tr>
      <w:tr w:rsidR="00010983" w:rsidRPr="00A50660" w14:paraId="02002210" w14:textId="77777777" w:rsidTr="00FD26B8">
        <w:trPr>
          <w:trHeight w:val="290"/>
        </w:trPr>
        <w:tc>
          <w:tcPr>
            <w:tcW w:w="2185" w:type="dxa"/>
            <w:noWrap/>
            <w:hideMark/>
          </w:tcPr>
          <w:p w14:paraId="35736BD5" w14:textId="77777777" w:rsidR="00010983" w:rsidRPr="00A50660" w:rsidRDefault="00010983" w:rsidP="00FD26B8">
            <w:pPr>
              <w:rPr>
                <w:szCs w:val="24"/>
              </w:rPr>
            </w:pPr>
            <w:r w:rsidRPr="00A50660">
              <w:rPr>
                <w:szCs w:val="24"/>
              </w:rPr>
              <w:t> </w:t>
            </w:r>
          </w:p>
        </w:tc>
        <w:tc>
          <w:tcPr>
            <w:tcW w:w="2278" w:type="dxa"/>
            <w:noWrap/>
            <w:hideMark/>
          </w:tcPr>
          <w:p w14:paraId="27FC92FC" w14:textId="11D1B163" w:rsidR="00010983" w:rsidRPr="00A50660" w:rsidRDefault="00010983" w:rsidP="00F54EFE">
            <w:pPr>
              <w:jc w:val="center"/>
              <w:rPr>
                <w:szCs w:val="24"/>
              </w:rPr>
            </w:pPr>
            <w:r w:rsidRPr="00A50660">
              <w:rPr>
                <w:szCs w:val="24"/>
              </w:rPr>
              <w:t>0.3800</w:t>
            </w:r>
          </w:p>
        </w:tc>
        <w:tc>
          <w:tcPr>
            <w:tcW w:w="2642" w:type="dxa"/>
            <w:noWrap/>
            <w:hideMark/>
          </w:tcPr>
          <w:p w14:paraId="1F9FA7C3" w14:textId="348EE6ED" w:rsidR="00010983" w:rsidRPr="00A50660" w:rsidRDefault="00010983" w:rsidP="00F54EFE">
            <w:pPr>
              <w:jc w:val="center"/>
              <w:rPr>
                <w:szCs w:val="24"/>
              </w:rPr>
            </w:pPr>
            <w:r w:rsidRPr="00A50660">
              <w:rPr>
                <w:szCs w:val="24"/>
              </w:rPr>
              <w:t>(0.1800)</w:t>
            </w:r>
          </w:p>
        </w:tc>
        <w:tc>
          <w:tcPr>
            <w:tcW w:w="2036" w:type="dxa"/>
            <w:noWrap/>
            <w:hideMark/>
          </w:tcPr>
          <w:p w14:paraId="4AF3B1FD" w14:textId="693DE245" w:rsidR="00010983" w:rsidRPr="00A50660" w:rsidRDefault="00010983" w:rsidP="00F54EFE">
            <w:pPr>
              <w:jc w:val="center"/>
              <w:rPr>
                <w:szCs w:val="24"/>
              </w:rPr>
            </w:pPr>
            <w:r w:rsidRPr="00A50660">
              <w:rPr>
                <w:szCs w:val="24"/>
              </w:rPr>
              <w:t>(0.0500)</w:t>
            </w:r>
          </w:p>
        </w:tc>
      </w:tr>
      <w:tr w:rsidR="00010983" w:rsidRPr="00A50660" w14:paraId="78EFD293" w14:textId="77777777" w:rsidTr="00FD26B8">
        <w:trPr>
          <w:trHeight w:val="290"/>
        </w:trPr>
        <w:tc>
          <w:tcPr>
            <w:tcW w:w="2185" w:type="dxa"/>
            <w:noWrap/>
            <w:hideMark/>
          </w:tcPr>
          <w:p w14:paraId="5A27698C" w14:textId="77777777" w:rsidR="00010983" w:rsidRPr="00A50660" w:rsidRDefault="00010983" w:rsidP="00FD26B8">
            <w:pPr>
              <w:rPr>
                <w:szCs w:val="24"/>
              </w:rPr>
            </w:pPr>
            <w:r w:rsidRPr="00A50660">
              <w:rPr>
                <w:szCs w:val="24"/>
              </w:rPr>
              <w:t>_cons</w:t>
            </w:r>
          </w:p>
        </w:tc>
        <w:tc>
          <w:tcPr>
            <w:tcW w:w="2278" w:type="dxa"/>
            <w:noWrap/>
            <w:hideMark/>
          </w:tcPr>
          <w:p w14:paraId="3509005F" w14:textId="061E588C" w:rsidR="00010983" w:rsidRPr="00A50660" w:rsidRDefault="00010983" w:rsidP="00F54EFE">
            <w:pPr>
              <w:jc w:val="center"/>
              <w:rPr>
                <w:szCs w:val="24"/>
              </w:rPr>
            </w:pPr>
            <w:r w:rsidRPr="00A50660">
              <w:rPr>
                <w:szCs w:val="24"/>
              </w:rPr>
              <w:t>(12.0983)</w:t>
            </w:r>
          </w:p>
        </w:tc>
        <w:tc>
          <w:tcPr>
            <w:tcW w:w="2642" w:type="dxa"/>
            <w:noWrap/>
            <w:hideMark/>
          </w:tcPr>
          <w:p w14:paraId="35600531" w14:textId="5537A06A" w:rsidR="00010983" w:rsidRPr="00A50660" w:rsidRDefault="00010983" w:rsidP="00F54EFE">
            <w:pPr>
              <w:jc w:val="center"/>
              <w:rPr>
                <w:szCs w:val="24"/>
              </w:rPr>
            </w:pPr>
            <w:r w:rsidRPr="00A50660">
              <w:rPr>
                <w:szCs w:val="24"/>
              </w:rPr>
              <w:t>(4.2364)</w:t>
            </w:r>
            <w:r>
              <w:rPr>
                <w:szCs w:val="24"/>
              </w:rPr>
              <w:t>**</w:t>
            </w:r>
          </w:p>
        </w:tc>
        <w:tc>
          <w:tcPr>
            <w:tcW w:w="2036" w:type="dxa"/>
            <w:noWrap/>
            <w:hideMark/>
          </w:tcPr>
          <w:p w14:paraId="3FB409FC" w14:textId="5211ED21" w:rsidR="00010983" w:rsidRPr="00A50660" w:rsidRDefault="00010983" w:rsidP="00F54EFE">
            <w:pPr>
              <w:jc w:val="center"/>
              <w:rPr>
                <w:szCs w:val="24"/>
              </w:rPr>
            </w:pPr>
            <w:r w:rsidRPr="00A50660">
              <w:rPr>
                <w:szCs w:val="24"/>
              </w:rPr>
              <w:t>(4.2364)</w:t>
            </w:r>
          </w:p>
        </w:tc>
      </w:tr>
      <w:tr w:rsidR="00010983" w:rsidRPr="00A50660" w14:paraId="56FE699A" w14:textId="77777777" w:rsidTr="00FD26B8">
        <w:trPr>
          <w:trHeight w:val="290"/>
        </w:trPr>
        <w:tc>
          <w:tcPr>
            <w:tcW w:w="2185" w:type="dxa"/>
            <w:noWrap/>
            <w:hideMark/>
          </w:tcPr>
          <w:p w14:paraId="236E3CED" w14:textId="77777777" w:rsidR="00010983" w:rsidRPr="00A50660" w:rsidRDefault="00010983" w:rsidP="00FD26B8">
            <w:pPr>
              <w:rPr>
                <w:szCs w:val="24"/>
              </w:rPr>
            </w:pPr>
            <w:r w:rsidRPr="00A50660">
              <w:rPr>
                <w:szCs w:val="24"/>
              </w:rPr>
              <w:t> </w:t>
            </w:r>
          </w:p>
        </w:tc>
        <w:tc>
          <w:tcPr>
            <w:tcW w:w="2278" w:type="dxa"/>
            <w:noWrap/>
            <w:hideMark/>
          </w:tcPr>
          <w:p w14:paraId="57241CC0" w14:textId="168BEB44" w:rsidR="00010983" w:rsidRPr="00A50660" w:rsidRDefault="00010983" w:rsidP="00F54EFE">
            <w:pPr>
              <w:jc w:val="center"/>
              <w:rPr>
                <w:szCs w:val="24"/>
              </w:rPr>
            </w:pPr>
            <w:r w:rsidRPr="00A50660">
              <w:rPr>
                <w:szCs w:val="24"/>
              </w:rPr>
              <w:t>4.9822</w:t>
            </w:r>
          </w:p>
        </w:tc>
        <w:tc>
          <w:tcPr>
            <w:tcW w:w="2642" w:type="dxa"/>
            <w:noWrap/>
            <w:hideMark/>
          </w:tcPr>
          <w:p w14:paraId="1F6FC49F" w14:textId="2CED7504" w:rsidR="00010983" w:rsidRPr="00A50660" w:rsidRDefault="00010983" w:rsidP="00F54EFE">
            <w:pPr>
              <w:jc w:val="center"/>
              <w:rPr>
                <w:szCs w:val="24"/>
              </w:rPr>
            </w:pPr>
            <w:r w:rsidRPr="00A50660">
              <w:rPr>
                <w:szCs w:val="24"/>
              </w:rPr>
              <w:t>2.0973</w:t>
            </w:r>
          </w:p>
        </w:tc>
        <w:tc>
          <w:tcPr>
            <w:tcW w:w="2036" w:type="dxa"/>
            <w:noWrap/>
            <w:hideMark/>
          </w:tcPr>
          <w:p w14:paraId="1DD6DD8F" w14:textId="4AFEFF89" w:rsidR="00010983" w:rsidRPr="00A50660" w:rsidRDefault="00010983" w:rsidP="00F54EFE">
            <w:pPr>
              <w:jc w:val="center"/>
              <w:rPr>
                <w:szCs w:val="24"/>
              </w:rPr>
            </w:pPr>
            <w:r w:rsidRPr="00A50660">
              <w:rPr>
                <w:szCs w:val="24"/>
              </w:rPr>
              <w:t>2.9285</w:t>
            </w:r>
          </w:p>
        </w:tc>
      </w:tr>
      <w:tr w:rsidR="00010983" w:rsidRPr="00A50660" w14:paraId="004A7BE1" w14:textId="77777777" w:rsidTr="00FD26B8">
        <w:trPr>
          <w:trHeight w:val="290"/>
        </w:trPr>
        <w:tc>
          <w:tcPr>
            <w:tcW w:w="2185" w:type="dxa"/>
            <w:noWrap/>
            <w:hideMark/>
          </w:tcPr>
          <w:p w14:paraId="79260AB0" w14:textId="77777777" w:rsidR="00010983" w:rsidRPr="00A50660" w:rsidRDefault="00010983" w:rsidP="00FD26B8">
            <w:pPr>
              <w:rPr>
                <w:szCs w:val="24"/>
              </w:rPr>
            </w:pPr>
            <w:r w:rsidRPr="00A50660">
              <w:rPr>
                <w:szCs w:val="24"/>
              </w:rPr>
              <w:t> </w:t>
            </w:r>
          </w:p>
        </w:tc>
        <w:tc>
          <w:tcPr>
            <w:tcW w:w="2278" w:type="dxa"/>
            <w:noWrap/>
            <w:hideMark/>
          </w:tcPr>
          <w:p w14:paraId="437508A9" w14:textId="506B831C" w:rsidR="00010983" w:rsidRPr="00A50660" w:rsidRDefault="00010983" w:rsidP="00F54EFE">
            <w:pPr>
              <w:jc w:val="center"/>
              <w:rPr>
                <w:szCs w:val="24"/>
              </w:rPr>
            </w:pPr>
            <w:r w:rsidRPr="00A50660">
              <w:rPr>
                <w:szCs w:val="24"/>
              </w:rPr>
              <w:t>2.4300</w:t>
            </w:r>
          </w:p>
        </w:tc>
        <w:tc>
          <w:tcPr>
            <w:tcW w:w="2642" w:type="dxa"/>
            <w:noWrap/>
            <w:hideMark/>
          </w:tcPr>
          <w:p w14:paraId="7BDA05A5" w14:textId="4791AEA0" w:rsidR="00010983" w:rsidRPr="00A50660" w:rsidRDefault="00010983" w:rsidP="00F54EFE">
            <w:pPr>
              <w:jc w:val="center"/>
              <w:rPr>
                <w:szCs w:val="24"/>
              </w:rPr>
            </w:pPr>
            <w:r w:rsidRPr="00A50660">
              <w:rPr>
                <w:szCs w:val="24"/>
              </w:rPr>
              <w:t>(2.0200)</w:t>
            </w:r>
          </w:p>
        </w:tc>
        <w:tc>
          <w:tcPr>
            <w:tcW w:w="2036" w:type="dxa"/>
            <w:noWrap/>
            <w:hideMark/>
          </w:tcPr>
          <w:p w14:paraId="76178B5E" w14:textId="3AE507B8" w:rsidR="00010983" w:rsidRPr="00A50660" w:rsidRDefault="00010983" w:rsidP="00F54EFE">
            <w:pPr>
              <w:jc w:val="center"/>
              <w:rPr>
                <w:szCs w:val="24"/>
              </w:rPr>
            </w:pPr>
            <w:r w:rsidRPr="00A50660">
              <w:rPr>
                <w:szCs w:val="24"/>
              </w:rPr>
              <w:t>(1.4500)</w:t>
            </w:r>
          </w:p>
        </w:tc>
      </w:tr>
    </w:tbl>
    <w:p w14:paraId="447F1B6A" w14:textId="77777777" w:rsidR="00010983" w:rsidRDefault="00010983" w:rsidP="00010983"/>
    <w:p w14:paraId="5B4B7F95" w14:textId="333DB627" w:rsidR="00010983" w:rsidRDefault="00C067ED" w:rsidP="00010983">
      <w:r w:rsidRPr="00C067ED">
        <w:fldChar w:fldCharType="begin"/>
      </w:r>
      <w:r w:rsidRPr="00C067ED">
        <w:instrText xml:space="preserve"> REF _Ref48676473 \h  \* MERGEFORMAT </w:instrText>
      </w:r>
      <w:r w:rsidRPr="00C067ED">
        <w:fldChar w:fldCharType="separate"/>
      </w:r>
      <w:r w:rsidRPr="00C067ED">
        <w:t>Table 10</w:t>
      </w:r>
      <w:r w:rsidRPr="00C067ED">
        <w:fldChar w:fldCharType="end"/>
      </w:r>
      <w:r w:rsidR="00010983" w:rsidRPr="00C067ED">
        <w:t xml:space="preserve"> illustrates that the dris kraay standard errors make a significant improvement of</w:t>
      </w:r>
      <w:r w:rsidR="00010983" w:rsidRPr="00162386">
        <w:t xml:space="preserve"> parameters significance</w:t>
      </w:r>
      <w:r w:rsidR="00010983">
        <w:t xml:space="preserve"> as it</w:t>
      </w:r>
      <w:r w:rsidR="00010983" w:rsidRPr="00C04004">
        <w:t xml:space="preserve"> correct</w:t>
      </w:r>
      <w:r w:rsidR="00010983">
        <w:t>s</w:t>
      </w:r>
      <w:r w:rsidR="00010983" w:rsidRPr="00C04004">
        <w:t xml:space="preserve"> the standard errors for the effect of heteroscedastic and auto correlation. </w:t>
      </w:r>
      <w:r w:rsidR="00010983" w:rsidRPr="00162386">
        <w:t xml:space="preserve"> </w:t>
      </w:r>
      <w:r w:rsidR="00010983">
        <w:t xml:space="preserve">It can be seen that the DA, ROE and BS are statistically significant at 5% level of significance. </w:t>
      </w:r>
    </w:p>
    <w:p w14:paraId="7A6A69B1" w14:textId="4826C083" w:rsidR="00010983" w:rsidRDefault="00010983" w:rsidP="00010983">
      <w:r>
        <w:t xml:space="preserve">For Islamic banks, the estimation procedures for Islamic Banks follows that of conventional banks. </w:t>
      </w:r>
      <w:r w:rsidR="005B114C" w:rsidRPr="005B114C">
        <w:fldChar w:fldCharType="begin"/>
      </w:r>
      <w:r w:rsidR="005B114C" w:rsidRPr="005B114C">
        <w:instrText xml:space="preserve"> REF _Ref48677036 \h </w:instrText>
      </w:r>
      <w:r w:rsidR="005B114C">
        <w:instrText xml:space="preserve"> \* MERGEFORMAT </w:instrText>
      </w:r>
      <w:r w:rsidR="005B114C" w:rsidRPr="005B114C">
        <w:fldChar w:fldCharType="separate"/>
      </w:r>
      <w:r w:rsidR="005B114C" w:rsidRPr="005B114C">
        <w:t>Table 11</w:t>
      </w:r>
      <w:r w:rsidR="005B114C" w:rsidRPr="005B114C">
        <w:fldChar w:fldCharType="end"/>
      </w:r>
      <w:r w:rsidRPr="005B114C">
        <w:t xml:space="preserve"> outlines the results of estimating the fixed effect, the random effect as well as the</w:t>
      </w:r>
      <w:r w:rsidRPr="00C04004">
        <w:t xml:space="preserve"> dris</w:t>
      </w:r>
      <w:r w:rsidR="00E20E02">
        <w:t xml:space="preserve"> </w:t>
      </w:r>
      <w:r w:rsidRPr="00C04004">
        <w:t>kraay corrected standard errors. The dris kraay model correct</w:t>
      </w:r>
      <w:r>
        <w:t>s</w:t>
      </w:r>
      <w:r w:rsidRPr="00C04004">
        <w:t xml:space="preserve"> the standard errors for the effect of heteroscedastic and auto correlation. </w:t>
      </w:r>
    </w:p>
    <w:p w14:paraId="5F65A116" w14:textId="5B4B18C7" w:rsidR="00010983" w:rsidRPr="0046340A" w:rsidRDefault="00010983" w:rsidP="00010983">
      <w:pPr>
        <w:spacing w:after="0"/>
        <w:rPr>
          <w:b/>
          <w:bCs/>
          <w:sz w:val="22"/>
        </w:rPr>
      </w:pPr>
      <w:bookmarkStart w:id="36" w:name="_Ref48677036"/>
      <w:bookmarkStart w:id="37" w:name="_Toc48684288"/>
      <w:r w:rsidRPr="0046340A">
        <w:rPr>
          <w:b/>
          <w:bCs/>
          <w:szCs w:val="24"/>
        </w:rPr>
        <w:t xml:space="preserve">Table </w:t>
      </w:r>
      <w:r w:rsidR="009E67C3">
        <w:rPr>
          <w:b/>
          <w:bCs/>
          <w:szCs w:val="24"/>
        </w:rPr>
        <w:fldChar w:fldCharType="begin"/>
      </w:r>
      <w:r w:rsidR="009E67C3">
        <w:rPr>
          <w:b/>
          <w:bCs/>
          <w:szCs w:val="24"/>
        </w:rPr>
        <w:instrText xml:space="preserve"> SEQ Table \* ARABIC </w:instrText>
      </w:r>
      <w:r w:rsidR="009E67C3">
        <w:rPr>
          <w:b/>
          <w:bCs/>
          <w:szCs w:val="24"/>
        </w:rPr>
        <w:fldChar w:fldCharType="separate"/>
      </w:r>
      <w:r w:rsidR="00166E8B">
        <w:rPr>
          <w:b/>
          <w:bCs/>
          <w:noProof/>
          <w:szCs w:val="24"/>
        </w:rPr>
        <w:t>11</w:t>
      </w:r>
      <w:r w:rsidR="009E67C3">
        <w:rPr>
          <w:b/>
          <w:bCs/>
          <w:szCs w:val="24"/>
        </w:rPr>
        <w:fldChar w:fldCharType="end"/>
      </w:r>
      <w:bookmarkEnd w:id="36"/>
      <w:r w:rsidRPr="0046340A">
        <w:rPr>
          <w:b/>
          <w:bCs/>
          <w:szCs w:val="24"/>
        </w:rPr>
        <w:t xml:space="preserve">: </w:t>
      </w:r>
      <w:r w:rsidRPr="0046340A">
        <w:rPr>
          <w:b/>
          <w:bCs/>
          <w:sz w:val="22"/>
        </w:rPr>
        <w:t>Driscoll-Kraay standard errors- Islamic Banks</w:t>
      </w:r>
      <w:bookmarkEnd w:id="37"/>
      <w:r w:rsidRPr="0046340A">
        <w:rPr>
          <w:b/>
          <w:bCs/>
          <w:sz w:val="22"/>
        </w:rPr>
        <w:t xml:space="preserve"> </w:t>
      </w:r>
    </w:p>
    <w:tbl>
      <w:tblPr>
        <w:tblStyle w:val="TableGrid"/>
        <w:tblW w:w="0" w:type="auto"/>
        <w:tblLook w:val="04A0" w:firstRow="1" w:lastRow="0" w:firstColumn="1" w:lastColumn="0" w:noHBand="0" w:noVBand="1"/>
      </w:tblPr>
      <w:tblGrid>
        <w:gridCol w:w="1982"/>
        <w:gridCol w:w="1993"/>
        <w:gridCol w:w="2422"/>
        <w:gridCol w:w="1993"/>
      </w:tblGrid>
      <w:tr w:rsidR="00010983" w:rsidRPr="0046340A" w14:paraId="5B96236F" w14:textId="77777777" w:rsidTr="00FD26B8">
        <w:trPr>
          <w:trHeight w:val="289"/>
        </w:trPr>
        <w:tc>
          <w:tcPr>
            <w:tcW w:w="1982" w:type="dxa"/>
            <w:noWrap/>
            <w:hideMark/>
          </w:tcPr>
          <w:p w14:paraId="58E1B783" w14:textId="77777777" w:rsidR="00010983" w:rsidRPr="0046340A" w:rsidRDefault="00010983" w:rsidP="00FD26B8">
            <w:pPr>
              <w:jc w:val="center"/>
              <w:rPr>
                <w:b/>
                <w:bCs/>
                <w:szCs w:val="24"/>
              </w:rPr>
            </w:pPr>
            <w:r w:rsidRPr="0046340A">
              <w:rPr>
                <w:b/>
                <w:bCs/>
                <w:szCs w:val="24"/>
              </w:rPr>
              <w:t>Variable</w:t>
            </w:r>
          </w:p>
        </w:tc>
        <w:tc>
          <w:tcPr>
            <w:tcW w:w="1993" w:type="dxa"/>
            <w:noWrap/>
            <w:hideMark/>
          </w:tcPr>
          <w:p w14:paraId="6649F35B" w14:textId="77777777" w:rsidR="00010983" w:rsidRPr="0046340A" w:rsidRDefault="00010983" w:rsidP="00FD26B8">
            <w:pPr>
              <w:jc w:val="center"/>
              <w:rPr>
                <w:b/>
                <w:bCs/>
                <w:szCs w:val="24"/>
              </w:rPr>
            </w:pPr>
            <w:r w:rsidRPr="0046340A">
              <w:rPr>
                <w:b/>
                <w:bCs/>
                <w:szCs w:val="24"/>
              </w:rPr>
              <w:t>Fixed</w:t>
            </w:r>
          </w:p>
        </w:tc>
        <w:tc>
          <w:tcPr>
            <w:tcW w:w="2422" w:type="dxa"/>
            <w:shd w:val="clear" w:color="auto" w:fill="BFBFBF" w:themeFill="background1" w:themeFillShade="BF"/>
            <w:noWrap/>
            <w:hideMark/>
          </w:tcPr>
          <w:p w14:paraId="3E09D0F0" w14:textId="77777777" w:rsidR="00010983" w:rsidRPr="0046340A" w:rsidRDefault="00010983" w:rsidP="00FD26B8">
            <w:pPr>
              <w:jc w:val="center"/>
              <w:rPr>
                <w:b/>
                <w:bCs/>
                <w:szCs w:val="24"/>
              </w:rPr>
            </w:pPr>
            <w:r w:rsidRPr="0046340A">
              <w:rPr>
                <w:b/>
                <w:bCs/>
                <w:szCs w:val="24"/>
              </w:rPr>
              <w:t>dris_kraay</w:t>
            </w:r>
          </w:p>
        </w:tc>
        <w:tc>
          <w:tcPr>
            <w:tcW w:w="1993" w:type="dxa"/>
            <w:noWrap/>
            <w:hideMark/>
          </w:tcPr>
          <w:p w14:paraId="19A149BA" w14:textId="77777777" w:rsidR="00010983" w:rsidRPr="0046340A" w:rsidRDefault="00010983" w:rsidP="00FD26B8">
            <w:pPr>
              <w:jc w:val="center"/>
              <w:rPr>
                <w:b/>
                <w:bCs/>
                <w:szCs w:val="24"/>
              </w:rPr>
            </w:pPr>
            <w:r w:rsidRPr="0046340A">
              <w:rPr>
                <w:b/>
                <w:bCs/>
                <w:szCs w:val="24"/>
              </w:rPr>
              <w:t>random</w:t>
            </w:r>
          </w:p>
        </w:tc>
      </w:tr>
      <w:tr w:rsidR="00010983" w:rsidRPr="0046340A" w14:paraId="41D8C1E5" w14:textId="77777777" w:rsidTr="00FD26B8">
        <w:trPr>
          <w:trHeight w:val="289"/>
        </w:trPr>
        <w:tc>
          <w:tcPr>
            <w:tcW w:w="1982" w:type="dxa"/>
            <w:noWrap/>
            <w:hideMark/>
          </w:tcPr>
          <w:p w14:paraId="29DA4260" w14:textId="77777777" w:rsidR="00010983" w:rsidRPr="0046340A" w:rsidRDefault="00010983" w:rsidP="00FD26B8">
            <w:pPr>
              <w:rPr>
                <w:szCs w:val="24"/>
              </w:rPr>
            </w:pPr>
            <w:r w:rsidRPr="0046340A">
              <w:rPr>
                <w:szCs w:val="24"/>
              </w:rPr>
              <w:t>DA</w:t>
            </w:r>
          </w:p>
        </w:tc>
        <w:tc>
          <w:tcPr>
            <w:tcW w:w="1993" w:type="dxa"/>
            <w:noWrap/>
            <w:hideMark/>
          </w:tcPr>
          <w:p w14:paraId="353129AD" w14:textId="77777777" w:rsidR="00010983" w:rsidRPr="0046340A" w:rsidRDefault="00010983" w:rsidP="00FD26B8">
            <w:pPr>
              <w:jc w:val="center"/>
              <w:rPr>
                <w:szCs w:val="24"/>
              </w:rPr>
            </w:pPr>
            <w:r w:rsidRPr="0046340A">
              <w:rPr>
                <w:szCs w:val="24"/>
              </w:rPr>
              <w:t>-4.66309</w:t>
            </w:r>
          </w:p>
        </w:tc>
        <w:tc>
          <w:tcPr>
            <w:tcW w:w="2422" w:type="dxa"/>
            <w:shd w:val="clear" w:color="auto" w:fill="BFBFBF" w:themeFill="background1" w:themeFillShade="BF"/>
            <w:noWrap/>
            <w:hideMark/>
          </w:tcPr>
          <w:p w14:paraId="3A18B2A8" w14:textId="77777777" w:rsidR="00010983" w:rsidRPr="0046340A" w:rsidRDefault="00010983" w:rsidP="00FD26B8">
            <w:pPr>
              <w:jc w:val="center"/>
              <w:rPr>
                <w:szCs w:val="24"/>
              </w:rPr>
            </w:pPr>
            <w:r w:rsidRPr="0046340A">
              <w:rPr>
                <w:szCs w:val="24"/>
              </w:rPr>
              <w:t>-5.4065064</w:t>
            </w:r>
            <w:r>
              <w:rPr>
                <w:szCs w:val="24"/>
              </w:rPr>
              <w:t>***</w:t>
            </w:r>
          </w:p>
        </w:tc>
        <w:tc>
          <w:tcPr>
            <w:tcW w:w="1993" w:type="dxa"/>
            <w:noWrap/>
            <w:hideMark/>
          </w:tcPr>
          <w:p w14:paraId="608AA495" w14:textId="77777777" w:rsidR="00010983" w:rsidRPr="0046340A" w:rsidRDefault="00010983" w:rsidP="00FD26B8">
            <w:pPr>
              <w:jc w:val="center"/>
              <w:rPr>
                <w:szCs w:val="24"/>
              </w:rPr>
            </w:pPr>
            <w:r w:rsidRPr="0046340A">
              <w:rPr>
                <w:szCs w:val="24"/>
              </w:rPr>
              <w:t>-5.40651</w:t>
            </w:r>
          </w:p>
        </w:tc>
      </w:tr>
      <w:tr w:rsidR="00010983" w:rsidRPr="0046340A" w14:paraId="07A364D8" w14:textId="77777777" w:rsidTr="00FD26B8">
        <w:trPr>
          <w:trHeight w:val="289"/>
        </w:trPr>
        <w:tc>
          <w:tcPr>
            <w:tcW w:w="1982" w:type="dxa"/>
            <w:noWrap/>
            <w:hideMark/>
          </w:tcPr>
          <w:p w14:paraId="339338E5" w14:textId="77777777" w:rsidR="00010983" w:rsidRPr="0046340A" w:rsidRDefault="00010983" w:rsidP="00FD26B8">
            <w:pPr>
              <w:rPr>
                <w:szCs w:val="24"/>
              </w:rPr>
            </w:pPr>
            <w:r w:rsidRPr="0046340A">
              <w:rPr>
                <w:szCs w:val="24"/>
              </w:rPr>
              <w:t> </w:t>
            </w:r>
          </w:p>
        </w:tc>
        <w:tc>
          <w:tcPr>
            <w:tcW w:w="1993" w:type="dxa"/>
            <w:noWrap/>
            <w:hideMark/>
          </w:tcPr>
          <w:p w14:paraId="31FA86B4" w14:textId="77777777" w:rsidR="00010983" w:rsidRPr="0046340A" w:rsidRDefault="00010983" w:rsidP="00FD26B8">
            <w:pPr>
              <w:jc w:val="center"/>
              <w:rPr>
                <w:szCs w:val="24"/>
              </w:rPr>
            </w:pPr>
            <w:r w:rsidRPr="0046340A">
              <w:rPr>
                <w:szCs w:val="24"/>
              </w:rPr>
              <w:t>4.485169</w:t>
            </w:r>
          </w:p>
        </w:tc>
        <w:tc>
          <w:tcPr>
            <w:tcW w:w="2422" w:type="dxa"/>
            <w:shd w:val="clear" w:color="auto" w:fill="BFBFBF" w:themeFill="background1" w:themeFillShade="BF"/>
            <w:noWrap/>
            <w:hideMark/>
          </w:tcPr>
          <w:p w14:paraId="730E753D" w14:textId="77777777" w:rsidR="00010983" w:rsidRPr="0046340A" w:rsidRDefault="00010983" w:rsidP="00FD26B8">
            <w:pPr>
              <w:jc w:val="center"/>
              <w:rPr>
                <w:szCs w:val="24"/>
              </w:rPr>
            </w:pPr>
            <w:r w:rsidRPr="0046340A">
              <w:rPr>
                <w:szCs w:val="24"/>
              </w:rPr>
              <w:t>2.0237606</w:t>
            </w:r>
          </w:p>
        </w:tc>
        <w:tc>
          <w:tcPr>
            <w:tcW w:w="1993" w:type="dxa"/>
            <w:noWrap/>
            <w:hideMark/>
          </w:tcPr>
          <w:p w14:paraId="0CB49ACD" w14:textId="77777777" w:rsidR="00010983" w:rsidRPr="0046340A" w:rsidRDefault="00010983" w:rsidP="00FD26B8">
            <w:pPr>
              <w:jc w:val="center"/>
              <w:rPr>
                <w:szCs w:val="24"/>
              </w:rPr>
            </w:pPr>
            <w:r w:rsidRPr="0046340A">
              <w:rPr>
                <w:szCs w:val="24"/>
              </w:rPr>
              <w:t>4.772729</w:t>
            </w:r>
          </w:p>
        </w:tc>
      </w:tr>
      <w:tr w:rsidR="00010983" w:rsidRPr="0046340A" w14:paraId="7B826E5C" w14:textId="77777777" w:rsidTr="00FD26B8">
        <w:trPr>
          <w:trHeight w:val="289"/>
        </w:trPr>
        <w:tc>
          <w:tcPr>
            <w:tcW w:w="1982" w:type="dxa"/>
            <w:noWrap/>
            <w:hideMark/>
          </w:tcPr>
          <w:p w14:paraId="2260790E" w14:textId="77777777" w:rsidR="00010983" w:rsidRPr="0046340A" w:rsidRDefault="00010983" w:rsidP="00FD26B8">
            <w:pPr>
              <w:rPr>
                <w:szCs w:val="24"/>
              </w:rPr>
            </w:pPr>
            <w:r w:rsidRPr="0046340A">
              <w:rPr>
                <w:szCs w:val="24"/>
              </w:rPr>
              <w:t> </w:t>
            </w:r>
          </w:p>
        </w:tc>
        <w:tc>
          <w:tcPr>
            <w:tcW w:w="1993" w:type="dxa"/>
            <w:noWrap/>
            <w:hideMark/>
          </w:tcPr>
          <w:p w14:paraId="6A10C59B" w14:textId="77777777" w:rsidR="00010983" w:rsidRPr="0046340A" w:rsidRDefault="00010983" w:rsidP="00FD26B8">
            <w:pPr>
              <w:jc w:val="center"/>
              <w:rPr>
                <w:szCs w:val="24"/>
              </w:rPr>
            </w:pPr>
            <w:r w:rsidRPr="0046340A">
              <w:rPr>
                <w:szCs w:val="24"/>
              </w:rPr>
              <w:t>-1.04</w:t>
            </w:r>
          </w:p>
        </w:tc>
        <w:tc>
          <w:tcPr>
            <w:tcW w:w="2422" w:type="dxa"/>
            <w:shd w:val="clear" w:color="auto" w:fill="BFBFBF" w:themeFill="background1" w:themeFillShade="BF"/>
            <w:noWrap/>
            <w:hideMark/>
          </w:tcPr>
          <w:p w14:paraId="2079BC01" w14:textId="77777777" w:rsidR="00010983" w:rsidRPr="0046340A" w:rsidRDefault="00010983" w:rsidP="00FD26B8">
            <w:pPr>
              <w:jc w:val="center"/>
              <w:rPr>
                <w:szCs w:val="24"/>
              </w:rPr>
            </w:pPr>
            <w:r w:rsidRPr="0046340A">
              <w:rPr>
                <w:szCs w:val="24"/>
              </w:rPr>
              <w:t>-2.67</w:t>
            </w:r>
          </w:p>
        </w:tc>
        <w:tc>
          <w:tcPr>
            <w:tcW w:w="1993" w:type="dxa"/>
            <w:noWrap/>
            <w:hideMark/>
          </w:tcPr>
          <w:p w14:paraId="792E2D07" w14:textId="77777777" w:rsidR="00010983" w:rsidRPr="0046340A" w:rsidRDefault="00010983" w:rsidP="00FD26B8">
            <w:pPr>
              <w:jc w:val="center"/>
              <w:rPr>
                <w:szCs w:val="24"/>
              </w:rPr>
            </w:pPr>
            <w:r w:rsidRPr="0046340A">
              <w:rPr>
                <w:szCs w:val="24"/>
              </w:rPr>
              <w:t>-1.13</w:t>
            </w:r>
          </w:p>
        </w:tc>
      </w:tr>
      <w:tr w:rsidR="00010983" w:rsidRPr="0046340A" w14:paraId="351C7803" w14:textId="77777777" w:rsidTr="00FD26B8">
        <w:trPr>
          <w:trHeight w:val="289"/>
        </w:trPr>
        <w:tc>
          <w:tcPr>
            <w:tcW w:w="1982" w:type="dxa"/>
            <w:noWrap/>
            <w:hideMark/>
          </w:tcPr>
          <w:p w14:paraId="55D0B356" w14:textId="77777777" w:rsidR="00010983" w:rsidRPr="0046340A" w:rsidRDefault="00010983" w:rsidP="00FD26B8">
            <w:pPr>
              <w:rPr>
                <w:szCs w:val="24"/>
              </w:rPr>
            </w:pPr>
            <w:r w:rsidRPr="0046340A">
              <w:rPr>
                <w:szCs w:val="24"/>
              </w:rPr>
              <w:t>CR</w:t>
            </w:r>
          </w:p>
        </w:tc>
        <w:tc>
          <w:tcPr>
            <w:tcW w:w="1993" w:type="dxa"/>
            <w:noWrap/>
            <w:hideMark/>
          </w:tcPr>
          <w:p w14:paraId="427CC415" w14:textId="77777777" w:rsidR="00010983" w:rsidRPr="0046340A" w:rsidRDefault="00010983" w:rsidP="00FD26B8">
            <w:pPr>
              <w:jc w:val="center"/>
              <w:rPr>
                <w:szCs w:val="24"/>
              </w:rPr>
            </w:pPr>
            <w:r w:rsidRPr="0046340A">
              <w:rPr>
                <w:szCs w:val="24"/>
              </w:rPr>
              <w:t>-1.52763</w:t>
            </w:r>
          </w:p>
        </w:tc>
        <w:tc>
          <w:tcPr>
            <w:tcW w:w="2422" w:type="dxa"/>
            <w:shd w:val="clear" w:color="auto" w:fill="BFBFBF" w:themeFill="background1" w:themeFillShade="BF"/>
            <w:noWrap/>
            <w:hideMark/>
          </w:tcPr>
          <w:p w14:paraId="477B2B4D" w14:textId="77777777" w:rsidR="00010983" w:rsidRPr="0046340A" w:rsidRDefault="00010983" w:rsidP="00FD26B8">
            <w:pPr>
              <w:jc w:val="center"/>
              <w:rPr>
                <w:szCs w:val="24"/>
              </w:rPr>
            </w:pPr>
            <w:r w:rsidRPr="0046340A">
              <w:rPr>
                <w:szCs w:val="24"/>
              </w:rPr>
              <w:t>0.73310578</w:t>
            </w:r>
          </w:p>
        </w:tc>
        <w:tc>
          <w:tcPr>
            <w:tcW w:w="1993" w:type="dxa"/>
            <w:noWrap/>
            <w:hideMark/>
          </w:tcPr>
          <w:p w14:paraId="5B39025C" w14:textId="77777777" w:rsidR="00010983" w:rsidRPr="0046340A" w:rsidRDefault="00010983" w:rsidP="00FD26B8">
            <w:pPr>
              <w:jc w:val="center"/>
              <w:rPr>
                <w:szCs w:val="24"/>
              </w:rPr>
            </w:pPr>
            <w:r w:rsidRPr="0046340A">
              <w:rPr>
                <w:szCs w:val="24"/>
              </w:rPr>
              <w:t>0.733106</w:t>
            </w:r>
          </w:p>
        </w:tc>
      </w:tr>
      <w:tr w:rsidR="00010983" w:rsidRPr="0046340A" w14:paraId="3A40CDA2" w14:textId="77777777" w:rsidTr="00FD26B8">
        <w:trPr>
          <w:trHeight w:val="289"/>
        </w:trPr>
        <w:tc>
          <w:tcPr>
            <w:tcW w:w="1982" w:type="dxa"/>
            <w:noWrap/>
            <w:hideMark/>
          </w:tcPr>
          <w:p w14:paraId="2034D6D8" w14:textId="77777777" w:rsidR="00010983" w:rsidRPr="0046340A" w:rsidRDefault="00010983" w:rsidP="00FD26B8">
            <w:pPr>
              <w:rPr>
                <w:szCs w:val="24"/>
              </w:rPr>
            </w:pPr>
            <w:r w:rsidRPr="0046340A">
              <w:rPr>
                <w:szCs w:val="24"/>
              </w:rPr>
              <w:t> </w:t>
            </w:r>
          </w:p>
        </w:tc>
        <w:tc>
          <w:tcPr>
            <w:tcW w:w="1993" w:type="dxa"/>
            <w:noWrap/>
            <w:hideMark/>
          </w:tcPr>
          <w:p w14:paraId="2622E873" w14:textId="77777777" w:rsidR="00010983" w:rsidRPr="0046340A" w:rsidRDefault="00010983" w:rsidP="00FD26B8">
            <w:pPr>
              <w:jc w:val="center"/>
              <w:rPr>
                <w:szCs w:val="24"/>
              </w:rPr>
            </w:pPr>
            <w:r w:rsidRPr="0046340A">
              <w:rPr>
                <w:szCs w:val="24"/>
              </w:rPr>
              <w:t>1.670975</w:t>
            </w:r>
          </w:p>
        </w:tc>
        <w:tc>
          <w:tcPr>
            <w:tcW w:w="2422" w:type="dxa"/>
            <w:shd w:val="clear" w:color="auto" w:fill="BFBFBF" w:themeFill="background1" w:themeFillShade="BF"/>
            <w:noWrap/>
            <w:hideMark/>
          </w:tcPr>
          <w:p w14:paraId="243C3E4C" w14:textId="77777777" w:rsidR="00010983" w:rsidRPr="0046340A" w:rsidRDefault="00010983" w:rsidP="00FD26B8">
            <w:pPr>
              <w:jc w:val="center"/>
              <w:rPr>
                <w:szCs w:val="24"/>
              </w:rPr>
            </w:pPr>
            <w:r w:rsidRPr="0046340A">
              <w:rPr>
                <w:szCs w:val="24"/>
              </w:rPr>
              <w:t>1.8874206</w:t>
            </w:r>
          </w:p>
        </w:tc>
        <w:tc>
          <w:tcPr>
            <w:tcW w:w="1993" w:type="dxa"/>
            <w:noWrap/>
            <w:hideMark/>
          </w:tcPr>
          <w:p w14:paraId="362EBE21" w14:textId="77777777" w:rsidR="00010983" w:rsidRPr="0046340A" w:rsidRDefault="00010983" w:rsidP="00FD26B8">
            <w:pPr>
              <w:jc w:val="center"/>
              <w:rPr>
                <w:szCs w:val="24"/>
              </w:rPr>
            </w:pPr>
            <w:r w:rsidRPr="0046340A">
              <w:rPr>
                <w:szCs w:val="24"/>
              </w:rPr>
              <w:t>1.380356</w:t>
            </w:r>
          </w:p>
        </w:tc>
      </w:tr>
      <w:tr w:rsidR="00010983" w:rsidRPr="0046340A" w14:paraId="012F4384" w14:textId="77777777" w:rsidTr="00FD26B8">
        <w:trPr>
          <w:trHeight w:val="289"/>
        </w:trPr>
        <w:tc>
          <w:tcPr>
            <w:tcW w:w="1982" w:type="dxa"/>
            <w:noWrap/>
            <w:hideMark/>
          </w:tcPr>
          <w:p w14:paraId="631D8AEE" w14:textId="77777777" w:rsidR="00010983" w:rsidRPr="0046340A" w:rsidRDefault="00010983" w:rsidP="00FD26B8">
            <w:pPr>
              <w:rPr>
                <w:szCs w:val="24"/>
              </w:rPr>
            </w:pPr>
            <w:r w:rsidRPr="0046340A">
              <w:rPr>
                <w:szCs w:val="24"/>
              </w:rPr>
              <w:t> </w:t>
            </w:r>
          </w:p>
        </w:tc>
        <w:tc>
          <w:tcPr>
            <w:tcW w:w="1993" w:type="dxa"/>
            <w:noWrap/>
            <w:hideMark/>
          </w:tcPr>
          <w:p w14:paraId="7F67A672" w14:textId="77777777" w:rsidR="00010983" w:rsidRPr="0046340A" w:rsidRDefault="00010983" w:rsidP="00FD26B8">
            <w:pPr>
              <w:jc w:val="center"/>
              <w:rPr>
                <w:szCs w:val="24"/>
              </w:rPr>
            </w:pPr>
            <w:r w:rsidRPr="0046340A">
              <w:rPr>
                <w:szCs w:val="24"/>
              </w:rPr>
              <w:t>-0.91</w:t>
            </w:r>
          </w:p>
        </w:tc>
        <w:tc>
          <w:tcPr>
            <w:tcW w:w="2422" w:type="dxa"/>
            <w:shd w:val="clear" w:color="auto" w:fill="BFBFBF" w:themeFill="background1" w:themeFillShade="BF"/>
            <w:noWrap/>
            <w:hideMark/>
          </w:tcPr>
          <w:p w14:paraId="46696963" w14:textId="77777777" w:rsidR="00010983" w:rsidRPr="0046340A" w:rsidRDefault="00010983" w:rsidP="00FD26B8">
            <w:pPr>
              <w:jc w:val="center"/>
              <w:rPr>
                <w:szCs w:val="24"/>
              </w:rPr>
            </w:pPr>
            <w:r w:rsidRPr="0046340A">
              <w:rPr>
                <w:szCs w:val="24"/>
              </w:rPr>
              <w:t>0.39</w:t>
            </w:r>
          </w:p>
        </w:tc>
        <w:tc>
          <w:tcPr>
            <w:tcW w:w="1993" w:type="dxa"/>
            <w:noWrap/>
            <w:hideMark/>
          </w:tcPr>
          <w:p w14:paraId="54FCCC1C" w14:textId="77777777" w:rsidR="00010983" w:rsidRPr="0046340A" w:rsidRDefault="00010983" w:rsidP="00FD26B8">
            <w:pPr>
              <w:jc w:val="center"/>
              <w:rPr>
                <w:szCs w:val="24"/>
              </w:rPr>
            </w:pPr>
            <w:r w:rsidRPr="0046340A">
              <w:rPr>
                <w:szCs w:val="24"/>
              </w:rPr>
              <w:t>0.53</w:t>
            </w:r>
          </w:p>
        </w:tc>
      </w:tr>
      <w:tr w:rsidR="00010983" w:rsidRPr="0046340A" w14:paraId="76429CA9" w14:textId="77777777" w:rsidTr="00FD26B8">
        <w:trPr>
          <w:trHeight w:val="289"/>
        </w:trPr>
        <w:tc>
          <w:tcPr>
            <w:tcW w:w="1982" w:type="dxa"/>
            <w:noWrap/>
            <w:hideMark/>
          </w:tcPr>
          <w:p w14:paraId="0D3DBD4D" w14:textId="77777777" w:rsidR="00010983" w:rsidRPr="0046340A" w:rsidRDefault="00010983" w:rsidP="00FD26B8">
            <w:pPr>
              <w:rPr>
                <w:szCs w:val="24"/>
              </w:rPr>
            </w:pPr>
            <w:r w:rsidRPr="0046340A">
              <w:rPr>
                <w:szCs w:val="24"/>
              </w:rPr>
              <w:lastRenderedPageBreak/>
              <w:t>ROE</w:t>
            </w:r>
          </w:p>
        </w:tc>
        <w:tc>
          <w:tcPr>
            <w:tcW w:w="1993" w:type="dxa"/>
            <w:noWrap/>
            <w:hideMark/>
          </w:tcPr>
          <w:p w14:paraId="1493FC1B" w14:textId="77777777" w:rsidR="00010983" w:rsidRPr="0046340A" w:rsidRDefault="00010983" w:rsidP="00FD26B8">
            <w:pPr>
              <w:jc w:val="center"/>
              <w:rPr>
                <w:szCs w:val="24"/>
              </w:rPr>
            </w:pPr>
            <w:r w:rsidRPr="0046340A">
              <w:rPr>
                <w:szCs w:val="24"/>
              </w:rPr>
              <w:t>-8.28558</w:t>
            </w:r>
          </w:p>
        </w:tc>
        <w:tc>
          <w:tcPr>
            <w:tcW w:w="2422" w:type="dxa"/>
            <w:shd w:val="clear" w:color="auto" w:fill="BFBFBF" w:themeFill="background1" w:themeFillShade="BF"/>
            <w:noWrap/>
            <w:hideMark/>
          </w:tcPr>
          <w:p w14:paraId="0C3B6194" w14:textId="77777777" w:rsidR="00010983" w:rsidRPr="0046340A" w:rsidRDefault="00010983" w:rsidP="00FD26B8">
            <w:pPr>
              <w:jc w:val="center"/>
              <w:rPr>
                <w:szCs w:val="24"/>
              </w:rPr>
            </w:pPr>
            <w:r w:rsidRPr="0046340A">
              <w:rPr>
                <w:szCs w:val="24"/>
              </w:rPr>
              <w:t>-1.1704618</w:t>
            </w:r>
            <w:r>
              <w:rPr>
                <w:szCs w:val="24"/>
              </w:rPr>
              <w:t>***</w:t>
            </w:r>
          </w:p>
        </w:tc>
        <w:tc>
          <w:tcPr>
            <w:tcW w:w="1993" w:type="dxa"/>
            <w:noWrap/>
            <w:hideMark/>
          </w:tcPr>
          <w:p w14:paraId="5D1B2AB7" w14:textId="77777777" w:rsidR="00010983" w:rsidRPr="0046340A" w:rsidRDefault="00010983" w:rsidP="00FD26B8">
            <w:pPr>
              <w:jc w:val="center"/>
              <w:rPr>
                <w:szCs w:val="24"/>
              </w:rPr>
            </w:pPr>
            <w:r w:rsidRPr="0046340A">
              <w:rPr>
                <w:szCs w:val="24"/>
              </w:rPr>
              <w:t>-1.17046</w:t>
            </w:r>
          </w:p>
        </w:tc>
      </w:tr>
      <w:tr w:rsidR="00010983" w:rsidRPr="0046340A" w14:paraId="68D72B97" w14:textId="77777777" w:rsidTr="00FD26B8">
        <w:trPr>
          <w:trHeight w:val="289"/>
        </w:trPr>
        <w:tc>
          <w:tcPr>
            <w:tcW w:w="1982" w:type="dxa"/>
            <w:noWrap/>
            <w:hideMark/>
          </w:tcPr>
          <w:p w14:paraId="7480F062" w14:textId="77777777" w:rsidR="00010983" w:rsidRPr="0046340A" w:rsidRDefault="00010983" w:rsidP="00FD26B8">
            <w:pPr>
              <w:rPr>
                <w:szCs w:val="24"/>
              </w:rPr>
            </w:pPr>
            <w:r w:rsidRPr="0046340A">
              <w:rPr>
                <w:szCs w:val="24"/>
              </w:rPr>
              <w:t> </w:t>
            </w:r>
          </w:p>
        </w:tc>
        <w:tc>
          <w:tcPr>
            <w:tcW w:w="1993" w:type="dxa"/>
            <w:noWrap/>
            <w:hideMark/>
          </w:tcPr>
          <w:p w14:paraId="1192DC83" w14:textId="77777777" w:rsidR="00010983" w:rsidRPr="0046340A" w:rsidRDefault="00010983" w:rsidP="00FD26B8">
            <w:pPr>
              <w:jc w:val="center"/>
              <w:rPr>
                <w:szCs w:val="24"/>
              </w:rPr>
            </w:pPr>
            <w:r w:rsidRPr="0046340A">
              <w:rPr>
                <w:szCs w:val="24"/>
              </w:rPr>
              <w:t>4.220485</w:t>
            </w:r>
          </w:p>
        </w:tc>
        <w:tc>
          <w:tcPr>
            <w:tcW w:w="2422" w:type="dxa"/>
            <w:shd w:val="clear" w:color="auto" w:fill="BFBFBF" w:themeFill="background1" w:themeFillShade="BF"/>
            <w:noWrap/>
            <w:hideMark/>
          </w:tcPr>
          <w:p w14:paraId="4A223946" w14:textId="77777777" w:rsidR="00010983" w:rsidRPr="0046340A" w:rsidRDefault="00010983" w:rsidP="00FD26B8">
            <w:pPr>
              <w:jc w:val="center"/>
              <w:rPr>
                <w:szCs w:val="24"/>
              </w:rPr>
            </w:pPr>
            <w:r w:rsidRPr="0046340A">
              <w:rPr>
                <w:szCs w:val="24"/>
              </w:rPr>
              <w:t>0.1666011</w:t>
            </w:r>
          </w:p>
        </w:tc>
        <w:tc>
          <w:tcPr>
            <w:tcW w:w="1993" w:type="dxa"/>
            <w:noWrap/>
            <w:hideMark/>
          </w:tcPr>
          <w:p w14:paraId="1DFC084D" w14:textId="77777777" w:rsidR="00010983" w:rsidRPr="0046340A" w:rsidRDefault="00010983" w:rsidP="00FD26B8">
            <w:pPr>
              <w:jc w:val="center"/>
              <w:rPr>
                <w:szCs w:val="24"/>
              </w:rPr>
            </w:pPr>
            <w:r w:rsidRPr="0046340A">
              <w:rPr>
                <w:szCs w:val="24"/>
              </w:rPr>
              <w:t>2.824794</w:t>
            </w:r>
          </w:p>
        </w:tc>
      </w:tr>
      <w:tr w:rsidR="00010983" w:rsidRPr="0046340A" w14:paraId="43FB428A" w14:textId="77777777" w:rsidTr="00FD26B8">
        <w:trPr>
          <w:trHeight w:val="289"/>
        </w:trPr>
        <w:tc>
          <w:tcPr>
            <w:tcW w:w="1982" w:type="dxa"/>
            <w:noWrap/>
            <w:hideMark/>
          </w:tcPr>
          <w:p w14:paraId="21B033D9" w14:textId="77777777" w:rsidR="00010983" w:rsidRPr="0046340A" w:rsidRDefault="00010983" w:rsidP="00FD26B8">
            <w:pPr>
              <w:rPr>
                <w:szCs w:val="24"/>
              </w:rPr>
            </w:pPr>
            <w:r w:rsidRPr="0046340A">
              <w:rPr>
                <w:szCs w:val="24"/>
              </w:rPr>
              <w:t> </w:t>
            </w:r>
          </w:p>
        </w:tc>
        <w:tc>
          <w:tcPr>
            <w:tcW w:w="1993" w:type="dxa"/>
            <w:noWrap/>
            <w:hideMark/>
          </w:tcPr>
          <w:p w14:paraId="7FC1C633" w14:textId="77777777" w:rsidR="00010983" w:rsidRPr="0046340A" w:rsidRDefault="00010983" w:rsidP="00FD26B8">
            <w:pPr>
              <w:jc w:val="center"/>
              <w:rPr>
                <w:szCs w:val="24"/>
              </w:rPr>
            </w:pPr>
            <w:r w:rsidRPr="0046340A">
              <w:rPr>
                <w:szCs w:val="24"/>
              </w:rPr>
              <w:t>-1.96</w:t>
            </w:r>
          </w:p>
        </w:tc>
        <w:tc>
          <w:tcPr>
            <w:tcW w:w="2422" w:type="dxa"/>
            <w:shd w:val="clear" w:color="auto" w:fill="BFBFBF" w:themeFill="background1" w:themeFillShade="BF"/>
            <w:noWrap/>
            <w:hideMark/>
          </w:tcPr>
          <w:p w14:paraId="47DD7F79" w14:textId="77777777" w:rsidR="00010983" w:rsidRPr="0046340A" w:rsidRDefault="00010983" w:rsidP="00FD26B8">
            <w:pPr>
              <w:jc w:val="center"/>
              <w:rPr>
                <w:szCs w:val="24"/>
              </w:rPr>
            </w:pPr>
            <w:r w:rsidRPr="0046340A">
              <w:rPr>
                <w:szCs w:val="24"/>
              </w:rPr>
              <w:t>-7.03</w:t>
            </w:r>
          </w:p>
        </w:tc>
        <w:tc>
          <w:tcPr>
            <w:tcW w:w="1993" w:type="dxa"/>
            <w:noWrap/>
            <w:hideMark/>
          </w:tcPr>
          <w:p w14:paraId="177022FF" w14:textId="77777777" w:rsidR="00010983" w:rsidRPr="0046340A" w:rsidRDefault="00010983" w:rsidP="00FD26B8">
            <w:pPr>
              <w:jc w:val="center"/>
              <w:rPr>
                <w:szCs w:val="24"/>
              </w:rPr>
            </w:pPr>
            <w:r w:rsidRPr="0046340A">
              <w:rPr>
                <w:szCs w:val="24"/>
              </w:rPr>
              <w:t>-0.41</w:t>
            </w:r>
          </w:p>
        </w:tc>
      </w:tr>
      <w:tr w:rsidR="00010983" w:rsidRPr="0046340A" w14:paraId="0B51D2D2" w14:textId="77777777" w:rsidTr="00FD26B8">
        <w:trPr>
          <w:trHeight w:val="289"/>
        </w:trPr>
        <w:tc>
          <w:tcPr>
            <w:tcW w:w="1982" w:type="dxa"/>
            <w:noWrap/>
            <w:hideMark/>
          </w:tcPr>
          <w:p w14:paraId="193480ED" w14:textId="77777777" w:rsidR="00010983" w:rsidRPr="0046340A" w:rsidRDefault="00010983" w:rsidP="00FD26B8">
            <w:pPr>
              <w:rPr>
                <w:szCs w:val="24"/>
              </w:rPr>
            </w:pPr>
            <w:r w:rsidRPr="0046340A">
              <w:rPr>
                <w:szCs w:val="24"/>
              </w:rPr>
              <w:t>BS</w:t>
            </w:r>
          </w:p>
        </w:tc>
        <w:tc>
          <w:tcPr>
            <w:tcW w:w="1993" w:type="dxa"/>
            <w:noWrap/>
            <w:hideMark/>
          </w:tcPr>
          <w:p w14:paraId="0E42C0F1" w14:textId="77777777" w:rsidR="00010983" w:rsidRPr="0046340A" w:rsidRDefault="00010983" w:rsidP="00FD26B8">
            <w:pPr>
              <w:jc w:val="center"/>
              <w:rPr>
                <w:szCs w:val="24"/>
              </w:rPr>
            </w:pPr>
            <w:r w:rsidRPr="0046340A">
              <w:rPr>
                <w:szCs w:val="24"/>
              </w:rPr>
              <w:t>0.899442</w:t>
            </w:r>
          </w:p>
        </w:tc>
        <w:tc>
          <w:tcPr>
            <w:tcW w:w="2422" w:type="dxa"/>
            <w:shd w:val="clear" w:color="auto" w:fill="BFBFBF" w:themeFill="background1" w:themeFillShade="BF"/>
            <w:noWrap/>
            <w:hideMark/>
          </w:tcPr>
          <w:p w14:paraId="31F0A3E9" w14:textId="77777777" w:rsidR="00010983" w:rsidRPr="0046340A" w:rsidRDefault="00010983" w:rsidP="00FD26B8">
            <w:pPr>
              <w:jc w:val="center"/>
              <w:rPr>
                <w:szCs w:val="24"/>
              </w:rPr>
            </w:pPr>
            <w:r w:rsidRPr="0046340A">
              <w:rPr>
                <w:szCs w:val="24"/>
              </w:rPr>
              <w:t>0.66975125</w:t>
            </w:r>
            <w:r>
              <w:rPr>
                <w:szCs w:val="24"/>
              </w:rPr>
              <w:t>***</w:t>
            </w:r>
          </w:p>
        </w:tc>
        <w:tc>
          <w:tcPr>
            <w:tcW w:w="1993" w:type="dxa"/>
            <w:noWrap/>
            <w:hideMark/>
          </w:tcPr>
          <w:p w14:paraId="77CCEA9F" w14:textId="77777777" w:rsidR="00010983" w:rsidRPr="0046340A" w:rsidRDefault="00010983" w:rsidP="00FD26B8">
            <w:pPr>
              <w:jc w:val="center"/>
              <w:rPr>
                <w:szCs w:val="24"/>
              </w:rPr>
            </w:pPr>
            <w:r w:rsidRPr="0046340A">
              <w:rPr>
                <w:szCs w:val="24"/>
              </w:rPr>
              <w:t>0.669751</w:t>
            </w:r>
          </w:p>
        </w:tc>
      </w:tr>
      <w:tr w:rsidR="00010983" w:rsidRPr="0046340A" w14:paraId="3BFC62FA" w14:textId="77777777" w:rsidTr="00FD26B8">
        <w:trPr>
          <w:trHeight w:val="289"/>
        </w:trPr>
        <w:tc>
          <w:tcPr>
            <w:tcW w:w="1982" w:type="dxa"/>
            <w:noWrap/>
            <w:hideMark/>
          </w:tcPr>
          <w:p w14:paraId="5D117BE8" w14:textId="77777777" w:rsidR="00010983" w:rsidRPr="0046340A" w:rsidRDefault="00010983" w:rsidP="00FD26B8">
            <w:pPr>
              <w:rPr>
                <w:szCs w:val="24"/>
              </w:rPr>
            </w:pPr>
            <w:r w:rsidRPr="0046340A">
              <w:rPr>
                <w:szCs w:val="24"/>
              </w:rPr>
              <w:t> </w:t>
            </w:r>
          </w:p>
        </w:tc>
        <w:tc>
          <w:tcPr>
            <w:tcW w:w="1993" w:type="dxa"/>
            <w:noWrap/>
            <w:hideMark/>
          </w:tcPr>
          <w:p w14:paraId="02CB6746" w14:textId="77777777" w:rsidR="00010983" w:rsidRPr="0046340A" w:rsidRDefault="00010983" w:rsidP="00FD26B8">
            <w:pPr>
              <w:jc w:val="center"/>
              <w:rPr>
                <w:szCs w:val="24"/>
              </w:rPr>
            </w:pPr>
            <w:r w:rsidRPr="0046340A">
              <w:rPr>
                <w:szCs w:val="24"/>
              </w:rPr>
              <w:t>0.36736</w:t>
            </w:r>
          </w:p>
        </w:tc>
        <w:tc>
          <w:tcPr>
            <w:tcW w:w="2422" w:type="dxa"/>
            <w:shd w:val="clear" w:color="auto" w:fill="BFBFBF" w:themeFill="background1" w:themeFillShade="BF"/>
            <w:noWrap/>
            <w:hideMark/>
          </w:tcPr>
          <w:p w14:paraId="5045A2CC" w14:textId="77777777" w:rsidR="00010983" w:rsidRPr="0046340A" w:rsidRDefault="00010983" w:rsidP="00FD26B8">
            <w:pPr>
              <w:jc w:val="center"/>
              <w:rPr>
                <w:szCs w:val="24"/>
              </w:rPr>
            </w:pPr>
            <w:r w:rsidRPr="0046340A">
              <w:rPr>
                <w:szCs w:val="24"/>
              </w:rPr>
              <w:t>0.19956445</w:t>
            </w:r>
          </w:p>
        </w:tc>
        <w:tc>
          <w:tcPr>
            <w:tcW w:w="1993" w:type="dxa"/>
            <w:noWrap/>
            <w:hideMark/>
          </w:tcPr>
          <w:p w14:paraId="1A83590F" w14:textId="77777777" w:rsidR="00010983" w:rsidRPr="0046340A" w:rsidRDefault="00010983" w:rsidP="00FD26B8">
            <w:pPr>
              <w:jc w:val="center"/>
              <w:rPr>
                <w:szCs w:val="24"/>
              </w:rPr>
            </w:pPr>
            <w:r w:rsidRPr="0046340A">
              <w:rPr>
                <w:szCs w:val="24"/>
              </w:rPr>
              <w:t>0.378361</w:t>
            </w:r>
          </w:p>
        </w:tc>
      </w:tr>
      <w:tr w:rsidR="00010983" w:rsidRPr="0046340A" w14:paraId="5309D082" w14:textId="77777777" w:rsidTr="00FD26B8">
        <w:trPr>
          <w:trHeight w:val="289"/>
        </w:trPr>
        <w:tc>
          <w:tcPr>
            <w:tcW w:w="1982" w:type="dxa"/>
            <w:noWrap/>
            <w:hideMark/>
          </w:tcPr>
          <w:p w14:paraId="5C6DD215" w14:textId="77777777" w:rsidR="00010983" w:rsidRPr="0046340A" w:rsidRDefault="00010983" w:rsidP="00FD26B8">
            <w:pPr>
              <w:rPr>
                <w:szCs w:val="24"/>
              </w:rPr>
            </w:pPr>
            <w:r w:rsidRPr="0046340A">
              <w:rPr>
                <w:szCs w:val="24"/>
              </w:rPr>
              <w:t> </w:t>
            </w:r>
          </w:p>
        </w:tc>
        <w:tc>
          <w:tcPr>
            <w:tcW w:w="1993" w:type="dxa"/>
            <w:noWrap/>
            <w:hideMark/>
          </w:tcPr>
          <w:p w14:paraId="7C21517B" w14:textId="77777777" w:rsidR="00010983" w:rsidRPr="0046340A" w:rsidRDefault="00010983" w:rsidP="00FD26B8">
            <w:pPr>
              <w:jc w:val="center"/>
              <w:rPr>
                <w:szCs w:val="24"/>
              </w:rPr>
            </w:pPr>
            <w:r w:rsidRPr="0046340A">
              <w:rPr>
                <w:szCs w:val="24"/>
              </w:rPr>
              <w:t>2.45</w:t>
            </w:r>
          </w:p>
        </w:tc>
        <w:tc>
          <w:tcPr>
            <w:tcW w:w="2422" w:type="dxa"/>
            <w:shd w:val="clear" w:color="auto" w:fill="BFBFBF" w:themeFill="background1" w:themeFillShade="BF"/>
            <w:noWrap/>
            <w:hideMark/>
          </w:tcPr>
          <w:p w14:paraId="253FE46E" w14:textId="77777777" w:rsidR="00010983" w:rsidRPr="0046340A" w:rsidRDefault="00010983" w:rsidP="00FD26B8">
            <w:pPr>
              <w:jc w:val="center"/>
              <w:rPr>
                <w:szCs w:val="24"/>
              </w:rPr>
            </w:pPr>
            <w:r w:rsidRPr="0046340A">
              <w:rPr>
                <w:szCs w:val="24"/>
              </w:rPr>
              <w:t>3.36</w:t>
            </w:r>
          </w:p>
        </w:tc>
        <w:tc>
          <w:tcPr>
            <w:tcW w:w="1993" w:type="dxa"/>
            <w:noWrap/>
            <w:hideMark/>
          </w:tcPr>
          <w:p w14:paraId="1F2B1679" w14:textId="77777777" w:rsidR="00010983" w:rsidRPr="0046340A" w:rsidRDefault="00010983" w:rsidP="00FD26B8">
            <w:pPr>
              <w:jc w:val="center"/>
              <w:rPr>
                <w:szCs w:val="24"/>
              </w:rPr>
            </w:pPr>
            <w:r w:rsidRPr="0046340A">
              <w:rPr>
                <w:szCs w:val="24"/>
              </w:rPr>
              <w:t>1.77</w:t>
            </w:r>
          </w:p>
        </w:tc>
      </w:tr>
      <w:tr w:rsidR="00010983" w:rsidRPr="0046340A" w14:paraId="5198056A" w14:textId="77777777" w:rsidTr="00FD26B8">
        <w:trPr>
          <w:trHeight w:val="289"/>
        </w:trPr>
        <w:tc>
          <w:tcPr>
            <w:tcW w:w="1982" w:type="dxa"/>
            <w:noWrap/>
            <w:hideMark/>
          </w:tcPr>
          <w:p w14:paraId="3A91000A" w14:textId="77777777" w:rsidR="00010983" w:rsidRPr="0046340A" w:rsidRDefault="00010983" w:rsidP="00FD26B8">
            <w:pPr>
              <w:rPr>
                <w:szCs w:val="24"/>
              </w:rPr>
            </w:pPr>
            <w:r w:rsidRPr="0046340A">
              <w:rPr>
                <w:szCs w:val="24"/>
              </w:rPr>
              <w:t>CAR</w:t>
            </w:r>
          </w:p>
        </w:tc>
        <w:tc>
          <w:tcPr>
            <w:tcW w:w="1993" w:type="dxa"/>
            <w:noWrap/>
            <w:hideMark/>
          </w:tcPr>
          <w:p w14:paraId="67BB604A" w14:textId="77777777" w:rsidR="00010983" w:rsidRPr="0046340A" w:rsidRDefault="00010983" w:rsidP="00FD26B8">
            <w:pPr>
              <w:jc w:val="center"/>
              <w:rPr>
                <w:szCs w:val="24"/>
              </w:rPr>
            </w:pPr>
            <w:r w:rsidRPr="0046340A">
              <w:rPr>
                <w:szCs w:val="24"/>
              </w:rPr>
              <w:t>-3.55834</w:t>
            </w:r>
          </w:p>
        </w:tc>
        <w:tc>
          <w:tcPr>
            <w:tcW w:w="2422" w:type="dxa"/>
            <w:shd w:val="clear" w:color="auto" w:fill="BFBFBF" w:themeFill="background1" w:themeFillShade="BF"/>
            <w:noWrap/>
            <w:hideMark/>
          </w:tcPr>
          <w:p w14:paraId="1A69DCDD" w14:textId="77777777" w:rsidR="00010983" w:rsidRPr="0046340A" w:rsidRDefault="00010983" w:rsidP="00FD26B8">
            <w:pPr>
              <w:jc w:val="center"/>
              <w:rPr>
                <w:szCs w:val="24"/>
              </w:rPr>
            </w:pPr>
            <w:r w:rsidRPr="0046340A">
              <w:rPr>
                <w:szCs w:val="24"/>
              </w:rPr>
              <w:t>-4.0034901</w:t>
            </w:r>
            <w:r>
              <w:rPr>
                <w:szCs w:val="24"/>
              </w:rPr>
              <w:t>***</w:t>
            </w:r>
          </w:p>
        </w:tc>
        <w:tc>
          <w:tcPr>
            <w:tcW w:w="1993" w:type="dxa"/>
            <w:noWrap/>
            <w:hideMark/>
          </w:tcPr>
          <w:p w14:paraId="6A4AC5ED" w14:textId="77777777" w:rsidR="00010983" w:rsidRPr="0046340A" w:rsidRDefault="00010983" w:rsidP="00FD26B8">
            <w:pPr>
              <w:jc w:val="center"/>
              <w:rPr>
                <w:szCs w:val="24"/>
              </w:rPr>
            </w:pPr>
            <w:r w:rsidRPr="0046340A">
              <w:rPr>
                <w:szCs w:val="24"/>
              </w:rPr>
              <w:t>-4.00349</w:t>
            </w:r>
          </w:p>
        </w:tc>
      </w:tr>
      <w:tr w:rsidR="00010983" w:rsidRPr="0046340A" w14:paraId="2972D120" w14:textId="77777777" w:rsidTr="00FD26B8">
        <w:trPr>
          <w:trHeight w:val="289"/>
        </w:trPr>
        <w:tc>
          <w:tcPr>
            <w:tcW w:w="1982" w:type="dxa"/>
            <w:noWrap/>
            <w:hideMark/>
          </w:tcPr>
          <w:p w14:paraId="50149810" w14:textId="77777777" w:rsidR="00010983" w:rsidRPr="0046340A" w:rsidRDefault="00010983" w:rsidP="00FD26B8">
            <w:pPr>
              <w:rPr>
                <w:szCs w:val="24"/>
              </w:rPr>
            </w:pPr>
            <w:r w:rsidRPr="0046340A">
              <w:rPr>
                <w:szCs w:val="24"/>
              </w:rPr>
              <w:t> </w:t>
            </w:r>
          </w:p>
        </w:tc>
        <w:tc>
          <w:tcPr>
            <w:tcW w:w="1993" w:type="dxa"/>
            <w:noWrap/>
            <w:hideMark/>
          </w:tcPr>
          <w:p w14:paraId="411A6E83" w14:textId="77777777" w:rsidR="00010983" w:rsidRPr="0046340A" w:rsidRDefault="00010983" w:rsidP="00FD26B8">
            <w:pPr>
              <w:jc w:val="center"/>
              <w:rPr>
                <w:szCs w:val="24"/>
              </w:rPr>
            </w:pPr>
            <w:r w:rsidRPr="0046340A">
              <w:rPr>
                <w:szCs w:val="24"/>
              </w:rPr>
              <w:t>2.466055</w:t>
            </w:r>
          </w:p>
        </w:tc>
        <w:tc>
          <w:tcPr>
            <w:tcW w:w="2422" w:type="dxa"/>
            <w:shd w:val="clear" w:color="auto" w:fill="BFBFBF" w:themeFill="background1" w:themeFillShade="BF"/>
            <w:noWrap/>
            <w:hideMark/>
          </w:tcPr>
          <w:p w14:paraId="2E0E631E" w14:textId="77777777" w:rsidR="00010983" w:rsidRPr="0046340A" w:rsidRDefault="00010983" w:rsidP="00FD26B8">
            <w:pPr>
              <w:jc w:val="center"/>
              <w:rPr>
                <w:szCs w:val="24"/>
              </w:rPr>
            </w:pPr>
            <w:r w:rsidRPr="0046340A">
              <w:rPr>
                <w:szCs w:val="24"/>
              </w:rPr>
              <w:t>1.8038341</w:t>
            </w:r>
          </w:p>
        </w:tc>
        <w:tc>
          <w:tcPr>
            <w:tcW w:w="1993" w:type="dxa"/>
            <w:noWrap/>
            <w:hideMark/>
          </w:tcPr>
          <w:p w14:paraId="78FD5355" w14:textId="77777777" w:rsidR="00010983" w:rsidRPr="0046340A" w:rsidRDefault="00010983" w:rsidP="00FD26B8">
            <w:pPr>
              <w:jc w:val="center"/>
              <w:rPr>
                <w:szCs w:val="24"/>
              </w:rPr>
            </w:pPr>
            <w:r w:rsidRPr="0046340A">
              <w:rPr>
                <w:szCs w:val="24"/>
              </w:rPr>
              <w:t>2.623091</w:t>
            </w:r>
          </w:p>
        </w:tc>
      </w:tr>
      <w:tr w:rsidR="00010983" w:rsidRPr="0046340A" w14:paraId="77B017DA" w14:textId="77777777" w:rsidTr="00FD26B8">
        <w:trPr>
          <w:trHeight w:val="289"/>
        </w:trPr>
        <w:tc>
          <w:tcPr>
            <w:tcW w:w="1982" w:type="dxa"/>
            <w:noWrap/>
            <w:hideMark/>
          </w:tcPr>
          <w:p w14:paraId="34CD8C2C" w14:textId="77777777" w:rsidR="00010983" w:rsidRPr="0046340A" w:rsidRDefault="00010983" w:rsidP="00FD26B8">
            <w:pPr>
              <w:rPr>
                <w:szCs w:val="24"/>
              </w:rPr>
            </w:pPr>
            <w:r w:rsidRPr="0046340A">
              <w:rPr>
                <w:szCs w:val="24"/>
              </w:rPr>
              <w:t> </w:t>
            </w:r>
          </w:p>
        </w:tc>
        <w:tc>
          <w:tcPr>
            <w:tcW w:w="1993" w:type="dxa"/>
            <w:noWrap/>
            <w:hideMark/>
          </w:tcPr>
          <w:p w14:paraId="4C873BC4" w14:textId="77777777" w:rsidR="00010983" w:rsidRPr="0046340A" w:rsidRDefault="00010983" w:rsidP="00FD26B8">
            <w:pPr>
              <w:jc w:val="center"/>
              <w:rPr>
                <w:szCs w:val="24"/>
              </w:rPr>
            </w:pPr>
            <w:r w:rsidRPr="0046340A">
              <w:rPr>
                <w:szCs w:val="24"/>
              </w:rPr>
              <w:t>-1.44</w:t>
            </w:r>
          </w:p>
        </w:tc>
        <w:tc>
          <w:tcPr>
            <w:tcW w:w="2422" w:type="dxa"/>
            <w:shd w:val="clear" w:color="auto" w:fill="BFBFBF" w:themeFill="background1" w:themeFillShade="BF"/>
            <w:noWrap/>
            <w:hideMark/>
          </w:tcPr>
          <w:p w14:paraId="7B0CA87D" w14:textId="77777777" w:rsidR="00010983" w:rsidRPr="0046340A" w:rsidRDefault="00010983" w:rsidP="00FD26B8">
            <w:pPr>
              <w:jc w:val="center"/>
              <w:rPr>
                <w:szCs w:val="24"/>
              </w:rPr>
            </w:pPr>
            <w:r w:rsidRPr="0046340A">
              <w:rPr>
                <w:szCs w:val="24"/>
              </w:rPr>
              <w:t>-2.22</w:t>
            </w:r>
          </w:p>
        </w:tc>
        <w:tc>
          <w:tcPr>
            <w:tcW w:w="1993" w:type="dxa"/>
            <w:noWrap/>
            <w:hideMark/>
          </w:tcPr>
          <w:p w14:paraId="2FA8BEE5" w14:textId="77777777" w:rsidR="00010983" w:rsidRPr="0046340A" w:rsidRDefault="00010983" w:rsidP="00FD26B8">
            <w:pPr>
              <w:jc w:val="center"/>
              <w:rPr>
                <w:szCs w:val="24"/>
              </w:rPr>
            </w:pPr>
            <w:r w:rsidRPr="0046340A">
              <w:rPr>
                <w:szCs w:val="24"/>
              </w:rPr>
              <w:t>-1.53</w:t>
            </w:r>
          </w:p>
        </w:tc>
      </w:tr>
      <w:tr w:rsidR="00010983" w:rsidRPr="0046340A" w14:paraId="6B4C0940" w14:textId="77777777" w:rsidTr="00FD26B8">
        <w:trPr>
          <w:trHeight w:val="289"/>
        </w:trPr>
        <w:tc>
          <w:tcPr>
            <w:tcW w:w="1982" w:type="dxa"/>
            <w:noWrap/>
            <w:hideMark/>
          </w:tcPr>
          <w:p w14:paraId="398FFD08" w14:textId="77777777" w:rsidR="00010983" w:rsidRPr="0046340A" w:rsidRDefault="00010983" w:rsidP="00FD26B8">
            <w:pPr>
              <w:rPr>
                <w:szCs w:val="24"/>
              </w:rPr>
            </w:pPr>
            <w:r w:rsidRPr="0046340A">
              <w:rPr>
                <w:szCs w:val="24"/>
              </w:rPr>
              <w:t>_cons</w:t>
            </w:r>
          </w:p>
        </w:tc>
        <w:tc>
          <w:tcPr>
            <w:tcW w:w="1993" w:type="dxa"/>
            <w:noWrap/>
            <w:hideMark/>
          </w:tcPr>
          <w:p w14:paraId="63EAF90A" w14:textId="77777777" w:rsidR="00010983" w:rsidRPr="0046340A" w:rsidRDefault="00010983" w:rsidP="00FD26B8">
            <w:pPr>
              <w:jc w:val="center"/>
              <w:rPr>
                <w:szCs w:val="24"/>
              </w:rPr>
            </w:pPr>
            <w:r w:rsidRPr="0046340A">
              <w:rPr>
                <w:szCs w:val="24"/>
              </w:rPr>
              <w:t>-10.4925</w:t>
            </w:r>
          </w:p>
        </w:tc>
        <w:tc>
          <w:tcPr>
            <w:tcW w:w="2422" w:type="dxa"/>
            <w:shd w:val="clear" w:color="auto" w:fill="BFBFBF" w:themeFill="background1" w:themeFillShade="BF"/>
            <w:noWrap/>
            <w:hideMark/>
          </w:tcPr>
          <w:p w14:paraId="4860EC5E" w14:textId="77777777" w:rsidR="00010983" w:rsidRPr="0046340A" w:rsidRDefault="00010983" w:rsidP="00FD26B8">
            <w:pPr>
              <w:jc w:val="center"/>
              <w:rPr>
                <w:szCs w:val="24"/>
              </w:rPr>
            </w:pPr>
            <w:r w:rsidRPr="0046340A">
              <w:rPr>
                <w:szCs w:val="24"/>
              </w:rPr>
              <w:t>-6.1285052</w:t>
            </w:r>
          </w:p>
        </w:tc>
        <w:tc>
          <w:tcPr>
            <w:tcW w:w="1993" w:type="dxa"/>
            <w:noWrap/>
            <w:hideMark/>
          </w:tcPr>
          <w:p w14:paraId="4958B607" w14:textId="77777777" w:rsidR="00010983" w:rsidRPr="0046340A" w:rsidRDefault="00010983" w:rsidP="00FD26B8">
            <w:pPr>
              <w:jc w:val="center"/>
              <w:rPr>
                <w:szCs w:val="24"/>
              </w:rPr>
            </w:pPr>
            <w:r w:rsidRPr="0046340A">
              <w:rPr>
                <w:szCs w:val="24"/>
              </w:rPr>
              <w:t>-6.12851</w:t>
            </w:r>
          </w:p>
        </w:tc>
      </w:tr>
      <w:tr w:rsidR="00010983" w:rsidRPr="0046340A" w14:paraId="47D348DA" w14:textId="77777777" w:rsidTr="00FD26B8">
        <w:trPr>
          <w:trHeight w:val="289"/>
        </w:trPr>
        <w:tc>
          <w:tcPr>
            <w:tcW w:w="1982" w:type="dxa"/>
            <w:noWrap/>
            <w:hideMark/>
          </w:tcPr>
          <w:p w14:paraId="5F0BCCDE" w14:textId="77777777" w:rsidR="00010983" w:rsidRPr="0046340A" w:rsidRDefault="00010983" w:rsidP="00FD26B8">
            <w:pPr>
              <w:rPr>
                <w:szCs w:val="24"/>
              </w:rPr>
            </w:pPr>
            <w:r w:rsidRPr="0046340A">
              <w:rPr>
                <w:szCs w:val="24"/>
              </w:rPr>
              <w:t> </w:t>
            </w:r>
          </w:p>
        </w:tc>
        <w:tc>
          <w:tcPr>
            <w:tcW w:w="1993" w:type="dxa"/>
            <w:noWrap/>
            <w:hideMark/>
          </w:tcPr>
          <w:p w14:paraId="62BF3AC9" w14:textId="77777777" w:rsidR="00010983" w:rsidRPr="0046340A" w:rsidRDefault="00010983" w:rsidP="00FD26B8">
            <w:pPr>
              <w:jc w:val="center"/>
              <w:rPr>
                <w:szCs w:val="24"/>
              </w:rPr>
            </w:pPr>
            <w:r w:rsidRPr="0046340A">
              <w:rPr>
                <w:szCs w:val="24"/>
              </w:rPr>
              <w:t>7.845698</w:t>
            </w:r>
          </w:p>
        </w:tc>
        <w:tc>
          <w:tcPr>
            <w:tcW w:w="2422" w:type="dxa"/>
            <w:shd w:val="clear" w:color="auto" w:fill="BFBFBF" w:themeFill="background1" w:themeFillShade="BF"/>
            <w:noWrap/>
            <w:hideMark/>
          </w:tcPr>
          <w:p w14:paraId="5D3F1E90" w14:textId="77777777" w:rsidR="00010983" w:rsidRPr="0046340A" w:rsidRDefault="00010983" w:rsidP="00FD26B8">
            <w:pPr>
              <w:jc w:val="center"/>
              <w:rPr>
                <w:szCs w:val="24"/>
              </w:rPr>
            </w:pPr>
            <w:r w:rsidRPr="0046340A">
              <w:rPr>
                <w:szCs w:val="24"/>
              </w:rPr>
              <w:t>7.8125223</w:t>
            </w:r>
          </w:p>
        </w:tc>
        <w:tc>
          <w:tcPr>
            <w:tcW w:w="1993" w:type="dxa"/>
            <w:noWrap/>
            <w:hideMark/>
          </w:tcPr>
          <w:p w14:paraId="59846994" w14:textId="77777777" w:rsidR="00010983" w:rsidRPr="0046340A" w:rsidRDefault="00010983" w:rsidP="00FD26B8">
            <w:pPr>
              <w:jc w:val="center"/>
              <w:rPr>
                <w:szCs w:val="24"/>
              </w:rPr>
            </w:pPr>
            <w:r w:rsidRPr="0046340A">
              <w:rPr>
                <w:szCs w:val="24"/>
              </w:rPr>
              <w:t>8.158453</w:t>
            </w:r>
          </w:p>
        </w:tc>
      </w:tr>
      <w:tr w:rsidR="00010983" w:rsidRPr="0046340A" w14:paraId="3B909C3B" w14:textId="77777777" w:rsidTr="00FD26B8">
        <w:trPr>
          <w:trHeight w:val="289"/>
        </w:trPr>
        <w:tc>
          <w:tcPr>
            <w:tcW w:w="1982" w:type="dxa"/>
            <w:noWrap/>
            <w:hideMark/>
          </w:tcPr>
          <w:p w14:paraId="0F9EB73A" w14:textId="77777777" w:rsidR="00010983" w:rsidRPr="0046340A" w:rsidRDefault="00010983" w:rsidP="00FD26B8">
            <w:pPr>
              <w:rPr>
                <w:szCs w:val="24"/>
              </w:rPr>
            </w:pPr>
            <w:r w:rsidRPr="0046340A">
              <w:rPr>
                <w:szCs w:val="24"/>
              </w:rPr>
              <w:t> </w:t>
            </w:r>
          </w:p>
        </w:tc>
        <w:tc>
          <w:tcPr>
            <w:tcW w:w="1993" w:type="dxa"/>
            <w:noWrap/>
            <w:hideMark/>
          </w:tcPr>
          <w:p w14:paraId="56E7F25A" w14:textId="77777777" w:rsidR="00010983" w:rsidRPr="0046340A" w:rsidRDefault="00010983" w:rsidP="00FD26B8">
            <w:pPr>
              <w:jc w:val="center"/>
              <w:rPr>
                <w:szCs w:val="24"/>
              </w:rPr>
            </w:pPr>
            <w:r w:rsidRPr="0046340A">
              <w:rPr>
                <w:szCs w:val="24"/>
              </w:rPr>
              <w:t>-1.34</w:t>
            </w:r>
          </w:p>
        </w:tc>
        <w:tc>
          <w:tcPr>
            <w:tcW w:w="2422" w:type="dxa"/>
            <w:shd w:val="clear" w:color="auto" w:fill="BFBFBF" w:themeFill="background1" w:themeFillShade="BF"/>
            <w:noWrap/>
            <w:hideMark/>
          </w:tcPr>
          <w:p w14:paraId="1B494F13" w14:textId="77777777" w:rsidR="00010983" w:rsidRPr="0046340A" w:rsidRDefault="00010983" w:rsidP="00FD26B8">
            <w:pPr>
              <w:jc w:val="center"/>
              <w:rPr>
                <w:szCs w:val="24"/>
              </w:rPr>
            </w:pPr>
            <w:r w:rsidRPr="0046340A">
              <w:rPr>
                <w:szCs w:val="24"/>
              </w:rPr>
              <w:t>-0.78</w:t>
            </w:r>
          </w:p>
        </w:tc>
        <w:tc>
          <w:tcPr>
            <w:tcW w:w="1993" w:type="dxa"/>
            <w:noWrap/>
            <w:hideMark/>
          </w:tcPr>
          <w:p w14:paraId="666B405A" w14:textId="77777777" w:rsidR="00010983" w:rsidRPr="0046340A" w:rsidRDefault="00010983" w:rsidP="00FD26B8">
            <w:pPr>
              <w:jc w:val="center"/>
              <w:rPr>
                <w:szCs w:val="24"/>
              </w:rPr>
            </w:pPr>
            <w:r w:rsidRPr="0046340A">
              <w:rPr>
                <w:szCs w:val="24"/>
              </w:rPr>
              <w:t>-0.75</w:t>
            </w:r>
          </w:p>
        </w:tc>
      </w:tr>
    </w:tbl>
    <w:p w14:paraId="35C64D9D" w14:textId="77777777" w:rsidR="00010983" w:rsidRDefault="00010983" w:rsidP="00010983"/>
    <w:p w14:paraId="139C5322" w14:textId="77777777" w:rsidR="00010983" w:rsidRDefault="00010983" w:rsidP="00C17D90">
      <w:pPr>
        <w:pStyle w:val="Heading3"/>
      </w:pPr>
      <w:bookmarkStart w:id="38" w:name="_Toc48682032"/>
      <w:r w:rsidRPr="00226854">
        <w:t>Discussion</w:t>
      </w:r>
      <w:bookmarkEnd w:id="38"/>
    </w:p>
    <w:p w14:paraId="6F2E03AF" w14:textId="77777777" w:rsidR="00010983" w:rsidRPr="00606E51" w:rsidRDefault="00010983" w:rsidP="00C17D90">
      <w:pPr>
        <w:pStyle w:val="Heading4"/>
      </w:pPr>
      <w:bookmarkStart w:id="39" w:name="_Toc48682033"/>
      <w:r>
        <w:t>Conventional Banks</w:t>
      </w:r>
      <w:bookmarkEnd w:id="39"/>
      <w:r>
        <w:t xml:space="preserve"> </w:t>
      </w:r>
    </w:p>
    <w:p w14:paraId="3283B004" w14:textId="0395F7F9" w:rsidR="00D07026" w:rsidRPr="002E3F6C" w:rsidRDefault="00010983" w:rsidP="002E3F6C">
      <w:pPr>
        <w:rPr>
          <w:szCs w:val="24"/>
        </w:rPr>
      </w:pPr>
      <w:r w:rsidRPr="00D07026">
        <w:t xml:space="preserve">Results outlined in </w:t>
      </w:r>
      <w:r w:rsidR="00554F49" w:rsidRPr="00D07026">
        <w:fldChar w:fldCharType="begin"/>
      </w:r>
      <w:r w:rsidR="00554F49" w:rsidRPr="00D07026">
        <w:instrText xml:space="preserve"> REF _Ref48676473 \h  \* MERGEFORMAT </w:instrText>
      </w:r>
      <w:r w:rsidR="00554F49" w:rsidRPr="00D07026">
        <w:fldChar w:fldCharType="separate"/>
      </w:r>
      <w:r w:rsidR="00554F49" w:rsidRPr="00D07026">
        <w:t>Table 10</w:t>
      </w:r>
      <w:r w:rsidR="00554F49" w:rsidRPr="00D07026">
        <w:fldChar w:fldCharType="end"/>
      </w:r>
      <w:r w:rsidRPr="00D07026">
        <w:t xml:space="preserve"> show that the relationship between liquidity risk and the deposit to assets (DA) is positive and significant at a significance level of 5%. This means that the increased proportion of deposits to assets results in higher liquidity risk which reflects the maturity structure </w:t>
      </w:r>
      <w:r w:rsidRPr="002E3F6C">
        <w:rPr>
          <w:szCs w:val="24"/>
        </w:rPr>
        <w:t xml:space="preserve">of the deposits of conventional Banks. </w:t>
      </w:r>
      <w:r w:rsidR="00D07026" w:rsidRPr="002E3F6C">
        <w:rPr>
          <w:szCs w:val="24"/>
        </w:rPr>
        <w:t xml:space="preserve">This result is consistent with </w:t>
      </w:r>
      <w:r w:rsidR="00D07026" w:rsidRPr="002E3F6C">
        <w:rPr>
          <w:szCs w:val="24"/>
        </w:rPr>
        <w:fldChar w:fldCharType="begin"/>
      </w:r>
      <w:r w:rsidR="00B75033">
        <w:rPr>
          <w:szCs w:val="24"/>
        </w:rPr>
        <w:instrText xml:space="preserve"> ADDIN EN.CITE &lt;EndNote&gt;&lt;Cite&gt;&lt;Author&gt;Milošević-Avdalović&lt;/Author&gt;&lt;Year&gt;2018&lt;/Year&gt;&lt;RecNum&gt;9&lt;/RecNum&gt;&lt;DisplayText&gt;(S. Milošević-Avdalović, 2018)&lt;/DisplayText&gt;&lt;record&gt;&lt;rec-number&gt;9&lt;/rec-number&gt;&lt;foreign-keys&gt;&lt;key app="EN" db-id="p0zaszprate5rrepdrtx0tpnfr0wf9f2twt0" timestamp="1597815437"&gt;9&lt;/key&gt;&lt;/foreign-keys&gt;&lt;ref-type name="Journal Article"&gt;17&lt;/ref-type&gt;&lt;contributors&gt;&lt;authors&gt;&lt;author&gt;Milošević-Avdalović, Snežana&lt;/author&gt;&lt;/authors&gt;&lt;/contributors&gt;&lt;titles&gt;&lt;title&gt;The impact of bank-specific factors on the liquidity of commercial banks in Serbia&lt;/title&gt;&lt;secondary-title&gt;Ekonomika preduzeća&lt;/secondary-title&gt;&lt;/titles&gt;&lt;periodical&gt;&lt;full-title&gt;Ekonomika preduzeća&lt;/full-title&gt;&lt;/periodical&gt;&lt;pages&gt;257-265&lt;/pages&gt;&lt;volume&gt;66&lt;/volume&gt;&lt;number&gt;3-4&lt;/number&gt;&lt;dates&gt;&lt;year&gt;2018&lt;/year&gt;&lt;/dates&gt;&lt;isbn&gt;0353-443X&lt;/isbn&gt;&lt;urls&gt;&lt;/urls&gt;&lt;/record&gt;&lt;/Cite&gt;&lt;/EndNote&gt;</w:instrText>
      </w:r>
      <w:r w:rsidR="00D07026" w:rsidRPr="002E3F6C">
        <w:rPr>
          <w:szCs w:val="24"/>
        </w:rPr>
        <w:fldChar w:fldCharType="separate"/>
      </w:r>
      <w:r w:rsidR="00B75033">
        <w:rPr>
          <w:noProof/>
          <w:szCs w:val="24"/>
        </w:rPr>
        <w:t>(S. Milošević-Avdalović, 2018)</w:t>
      </w:r>
      <w:r w:rsidR="00D07026" w:rsidRPr="002E3F6C">
        <w:rPr>
          <w:szCs w:val="24"/>
        </w:rPr>
        <w:fldChar w:fldCharType="end"/>
      </w:r>
      <w:r w:rsidR="00D07026" w:rsidRPr="002E3F6C">
        <w:rPr>
          <w:szCs w:val="24"/>
        </w:rPr>
        <w:t xml:space="preserve">, which reflects that short-term maturity structure of the deposits. </w:t>
      </w:r>
    </w:p>
    <w:p w14:paraId="2F5B8EB5" w14:textId="6088C7C6" w:rsidR="00D07026" w:rsidRPr="002E3F6C" w:rsidRDefault="00D07026" w:rsidP="002E3F6C">
      <w:pPr>
        <w:rPr>
          <w:szCs w:val="24"/>
        </w:rPr>
      </w:pPr>
      <w:r w:rsidRPr="002E3F6C">
        <w:rPr>
          <w:szCs w:val="24"/>
        </w:rPr>
        <w:t xml:space="preserve">However, the relationship between the relationship between the cash ratio and liquidity risk is positive but insignificant. </w:t>
      </w:r>
      <w:r w:rsidR="00387659" w:rsidRPr="002E3F6C">
        <w:rPr>
          <w:szCs w:val="24"/>
        </w:rPr>
        <w:t xml:space="preserve">This match with the result obtained from </w:t>
      </w:r>
      <w:r w:rsidR="00387659" w:rsidRPr="002E3F6C">
        <w:rPr>
          <w:szCs w:val="24"/>
        </w:rPr>
        <w:fldChar w:fldCharType="begin"/>
      </w:r>
      <w:r w:rsidR="00387659" w:rsidRPr="002E3F6C">
        <w:rPr>
          <w:szCs w:val="24"/>
        </w:rPr>
        <w:instrText xml:space="preserve"> ADDIN EN.CITE &lt;EndNote&gt;&lt;Cite&gt;&lt;Author&gt;Iqbal&lt;/Author&gt;&lt;Year&gt;2012&lt;/Year&gt;&lt;RecNum&gt;10&lt;/RecNum&gt;&lt;DisplayText&gt;(Iqbal, 2012)&lt;/DisplayText&gt;&lt;record&gt;&lt;rec-number&gt;10&lt;/rec-number&gt;&lt;foreign-keys&gt;&lt;key app="EN" db-id="p0zaszprate5rrepdrtx0tpnfr0wf9f2twt0" timestamp="1597815767"&gt;10&lt;/key&gt;&lt;/foreign-keys&gt;&lt;ref-type name="Journal Article"&gt;17&lt;/ref-type&gt;&lt;contributors&gt;&lt;authors&gt;&lt;author&gt;Iqbal, Anjum&lt;/author&gt;&lt;/authors&gt;&lt;/contributors&gt;&lt;titles&gt;&lt;title&gt;Liquidity risk management: a comparative study between conventional and Islamic banks of Pakistan&lt;/title&gt;&lt;secondary-title&gt;Global journal of management and business research&lt;/secondary-title&gt;&lt;/titles&gt;&lt;periodical&gt;&lt;full-title&gt;Global journal of management and business research&lt;/full-title&gt;&lt;/periodical&gt;&lt;volume&gt;12&lt;/volume&gt;&lt;number&gt;5&lt;/number&gt;&lt;dates&gt;&lt;year&gt;2012&lt;/year&gt;&lt;/dates&gt;&lt;isbn&gt;2249-4588&lt;/isbn&gt;&lt;urls&gt;&lt;/urls&gt;&lt;/record&gt;&lt;/Cite&gt;&lt;/EndNote&gt;</w:instrText>
      </w:r>
      <w:r w:rsidR="00387659" w:rsidRPr="002E3F6C">
        <w:rPr>
          <w:szCs w:val="24"/>
        </w:rPr>
        <w:fldChar w:fldCharType="separate"/>
      </w:r>
      <w:r w:rsidR="00387659" w:rsidRPr="002E3F6C">
        <w:rPr>
          <w:noProof/>
          <w:szCs w:val="24"/>
        </w:rPr>
        <w:t>(Iqbal, 2012)</w:t>
      </w:r>
      <w:r w:rsidR="00387659" w:rsidRPr="002E3F6C">
        <w:rPr>
          <w:szCs w:val="24"/>
        </w:rPr>
        <w:fldChar w:fldCharType="end"/>
      </w:r>
      <w:r w:rsidR="00387659" w:rsidRPr="002E3F6C">
        <w:rPr>
          <w:szCs w:val="24"/>
        </w:rPr>
        <w:t xml:space="preserve">. It </w:t>
      </w:r>
      <w:r w:rsidRPr="002E3F6C">
        <w:rPr>
          <w:szCs w:val="24"/>
        </w:rPr>
        <w:t xml:space="preserve">indicates that the conventional banks do not depends on their cash balances to meet their short-term needs for </w:t>
      </w:r>
      <w:r w:rsidR="00387659" w:rsidRPr="002E3F6C">
        <w:rPr>
          <w:szCs w:val="24"/>
        </w:rPr>
        <w:t xml:space="preserve">funds. This result </w:t>
      </w:r>
      <w:r w:rsidR="001F3C1A" w:rsidRPr="002E3F6C">
        <w:rPr>
          <w:szCs w:val="24"/>
        </w:rPr>
        <w:t xml:space="preserve">reflects excess cash </w:t>
      </w:r>
      <w:r w:rsidR="00387659" w:rsidRPr="002E3F6C">
        <w:rPr>
          <w:szCs w:val="24"/>
        </w:rPr>
        <w:t>available</w:t>
      </w:r>
      <w:r w:rsidR="001F3C1A" w:rsidRPr="002E3F6C">
        <w:rPr>
          <w:szCs w:val="24"/>
        </w:rPr>
        <w:t xml:space="preserve"> at banks</w:t>
      </w:r>
      <w:r w:rsidR="00387659" w:rsidRPr="002E3F6C">
        <w:rPr>
          <w:szCs w:val="24"/>
        </w:rPr>
        <w:t xml:space="preserve">, which averaged 20% of total assets of the consolidated balance sheet during the analysis period. </w:t>
      </w:r>
    </w:p>
    <w:p w14:paraId="4C3EA55F" w14:textId="7FD4A7E9" w:rsidR="00D07026" w:rsidRPr="002E3F6C" w:rsidRDefault="00557EE9" w:rsidP="002E3F6C">
      <w:pPr>
        <w:rPr>
          <w:szCs w:val="24"/>
        </w:rPr>
      </w:pPr>
      <w:r w:rsidRPr="002E3F6C">
        <w:rPr>
          <w:szCs w:val="24"/>
        </w:rPr>
        <w:t>C</w:t>
      </w:r>
      <w:r w:rsidR="00D07026" w:rsidRPr="002E3F6C">
        <w:rPr>
          <w:szCs w:val="24"/>
        </w:rPr>
        <w:t>apital adequacy ratio proves to have a negative relationship with the liquidity risk albeit not significant at 5% level of significance. This</w:t>
      </w:r>
      <w:r w:rsidR="001277DC" w:rsidRPr="002E3F6C">
        <w:rPr>
          <w:szCs w:val="24"/>
        </w:rPr>
        <w:t xml:space="preserve"> result</w:t>
      </w:r>
      <w:r w:rsidR="00D07026" w:rsidRPr="002E3F6C">
        <w:rPr>
          <w:szCs w:val="24"/>
        </w:rPr>
        <w:t xml:space="preserve"> is consistent with the results obtained by </w:t>
      </w:r>
      <w:r w:rsidR="00D07026" w:rsidRPr="002E3F6C">
        <w:rPr>
          <w:szCs w:val="24"/>
        </w:rPr>
        <w:fldChar w:fldCharType="begin"/>
      </w:r>
      <w:r w:rsidR="00D07026" w:rsidRPr="002E3F6C">
        <w:rPr>
          <w:szCs w:val="24"/>
        </w:rPr>
        <w:instrText xml:space="preserve"> ADDIN EN.CITE &lt;EndNote&gt;&lt;Cite&gt;&lt;Author&gt;Tarawneh&lt;/Author&gt;&lt;Year&gt;2006&lt;/Year&gt;&lt;RecNum&gt;9&lt;/RecNum&gt;&lt;DisplayText&gt;(Tarawneh, 2006)&lt;/DisplayText&gt;&lt;record&gt;&lt;rec-number&gt;9&lt;/rec-number&gt;&lt;foreign-keys&gt;&lt;key app="EN" db-id="z9fpef0w85zaefe9d2ppz5fdr09av05rvpfp" timestamp="1597656996"&gt;9&lt;/key&gt;&lt;/foreign-keys&gt;&lt;ref-type name="Journal Article"&gt;17&lt;/ref-type&gt;&lt;contributors&gt;&lt;authors&gt;&lt;author&gt;Tarawneh, Medhat&lt;/author&gt;&lt;/authors&gt;&lt;/contributors&gt;&lt;titles&gt;&lt;title&gt;A comparison of financial performance in the banking sector: Some evidence from Omani commercial banks&lt;/title&gt;&lt;secondary-title&gt;International Research Journal of Finance and Economics&lt;/secondary-title&gt;&lt;/titles&gt;&lt;periodical&gt;&lt;full-title&gt;International Research Journal of Finance and Economics&lt;/full-title&gt;&lt;/periodical&gt;&lt;pages&gt;101-112&lt;/pages&gt;&lt;volume&gt;3&lt;/volume&gt;&lt;number&gt;3&lt;/number&gt;&lt;dates&gt;&lt;year&gt;2006&lt;/year&gt;&lt;/dates&gt;&lt;urls&gt;&lt;/urls&gt;&lt;/record&gt;&lt;/Cite&gt;&lt;/EndNote&gt;</w:instrText>
      </w:r>
      <w:r w:rsidR="00D07026" w:rsidRPr="002E3F6C">
        <w:rPr>
          <w:szCs w:val="24"/>
        </w:rPr>
        <w:fldChar w:fldCharType="separate"/>
      </w:r>
      <w:r w:rsidR="00D07026" w:rsidRPr="002E3F6C">
        <w:rPr>
          <w:szCs w:val="24"/>
        </w:rPr>
        <w:t>(Tarawneh, 2006)</w:t>
      </w:r>
      <w:r w:rsidR="00D07026" w:rsidRPr="002E3F6C">
        <w:rPr>
          <w:szCs w:val="24"/>
        </w:rPr>
        <w:fldChar w:fldCharType="end"/>
      </w:r>
      <w:r w:rsidR="00D07026" w:rsidRPr="002E3F6C">
        <w:rPr>
          <w:szCs w:val="24"/>
        </w:rPr>
        <w:t xml:space="preserve">, but inconsistent with </w:t>
      </w:r>
      <w:r w:rsidR="001277DC" w:rsidRPr="002E3F6C">
        <w:rPr>
          <w:szCs w:val="24"/>
        </w:rPr>
        <w:t xml:space="preserve">that obtained </w:t>
      </w:r>
      <w:r w:rsidR="00D07026" w:rsidRPr="002E3F6C">
        <w:rPr>
          <w:szCs w:val="24"/>
        </w:rPr>
        <w:fldChar w:fldCharType="begin"/>
      </w:r>
      <w:r w:rsidR="00D07026" w:rsidRPr="002E3F6C">
        <w:rPr>
          <w:szCs w:val="24"/>
        </w:rPr>
        <w:instrText xml:space="preserve"> ADDIN EN.CITE &lt;EndNote&gt;&lt;Cite&gt;&lt;Author&gt;Ojo&lt;/Author&gt;&lt;Year&gt;2010&lt;/Year&gt;&lt;RecNum&gt;10&lt;/RecNum&gt;&lt;DisplayText&gt;(Ojo, 2010)&lt;/DisplayText&gt;&lt;record&gt;&lt;rec-number&gt;10&lt;/rec-number&gt;&lt;foreign-keys&gt;&lt;key app="EN" db-id="z9fpef0w85zaefe9d2ppz5fdr09av05rvpfp" timestamp="1597657248"&gt;10&lt;/key&gt;&lt;/foreign-keys&gt;&lt;ref-type name="Journal Article"&gt;17&lt;/ref-type&gt;&lt;contributors&gt;&lt;authors&gt;&lt;author&gt;Ojo, Marianne&lt;/author&gt;&lt;/authors&gt;&lt;/contributors&gt;&lt;titles&gt;&lt;title&gt;Risk management by the Basel Committee&lt;/title&gt;&lt;secondary-title&gt;Journal of Financial Regulation and Compliance&lt;/secondary-title&gt;&lt;/titles&gt;&lt;periodical&gt;&lt;full-title&gt;Journal of Financial Regulation and Compliance&lt;/full-title&gt;&lt;/periodical&gt;&lt;dates&gt;&lt;year&gt;2010&lt;/year&gt;&lt;/dates&gt;&lt;isbn&gt;1358-1988&lt;/isbn&gt;&lt;urls&gt;&lt;/urls&gt;&lt;/record&gt;&lt;/Cite&gt;&lt;/EndNote&gt;</w:instrText>
      </w:r>
      <w:r w:rsidR="00D07026" w:rsidRPr="002E3F6C">
        <w:rPr>
          <w:szCs w:val="24"/>
        </w:rPr>
        <w:fldChar w:fldCharType="separate"/>
      </w:r>
      <w:r w:rsidR="00D07026" w:rsidRPr="002E3F6C">
        <w:rPr>
          <w:szCs w:val="24"/>
        </w:rPr>
        <w:t>(Ojo, 2010)</w:t>
      </w:r>
      <w:r w:rsidR="00D07026" w:rsidRPr="002E3F6C">
        <w:rPr>
          <w:szCs w:val="24"/>
        </w:rPr>
        <w:fldChar w:fldCharType="end"/>
      </w:r>
      <w:r w:rsidR="00D07026" w:rsidRPr="002E3F6C">
        <w:rPr>
          <w:szCs w:val="24"/>
        </w:rPr>
        <w:t xml:space="preserve">. We contribute this result to the fact that the Palestinian conventional banks </w:t>
      </w:r>
      <w:r w:rsidR="00367828" w:rsidRPr="002E3F6C">
        <w:rPr>
          <w:szCs w:val="24"/>
        </w:rPr>
        <w:t xml:space="preserve">are not exposed severely to international financial </w:t>
      </w:r>
      <w:r w:rsidR="00367828" w:rsidRPr="002E3F6C">
        <w:rPr>
          <w:szCs w:val="24"/>
        </w:rPr>
        <w:lastRenderedPageBreak/>
        <w:t>markets</w:t>
      </w:r>
      <w:r w:rsidR="002E3F6C" w:rsidRPr="002E3F6C">
        <w:rPr>
          <w:szCs w:val="24"/>
        </w:rPr>
        <w:t xml:space="preserve"> that would affect the </w:t>
      </w:r>
      <w:r w:rsidR="00367828" w:rsidRPr="002E3F6C">
        <w:rPr>
          <w:szCs w:val="24"/>
        </w:rPr>
        <w:t>liquidation</w:t>
      </w:r>
      <w:r w:rsidR="002E3F6C" w:rsidRPr="002E3F6C">
        <w:rPr>
          <w:szCs w:val="24"/>
        </w:rPr>
        <w:t xml:space="preserve"> value</w:t>
      </w:r>
      <w:r w:rsidR="00367828" w:rsidRPr="002E3F6C">
        <w:rPr>
          <w:szCs w:val="24"/>
        </w:rPr>
        <w:t xml:space="preserve"> </w:t>
      </w:r>
      <w:r w:rsidR="002E3F6C" w:rsidRPr="002E3F6C">
        <w:rPr>
          <w:szCs w:val="24"/>
        </w:rPr>
        <w:t xml:space="preserve">of the </w:t>
      </w:r>
      <w:r w:rsidR="00367828" w:rsidRPr="002E3F6C">
        <w:rPr>
          <w:szCs w:val="24"/>
        </w:rPr>
        <w:t>financial assets.</w:t>
      </w:r>
      <w:r w:rsidR="002E3F6C" w:rsidRPr="002E3F6C">
        <w:rPr>
          <w:szCs w:val="24"/>
        </w:rPr>
        <w:t xml:space="preserve"> During the asset period, the average proportion of portfolio assets to total assets is 6.5%.</w:t>
      </w:r>
    </w:p>
    <w:p w14:paraId="1C3A8358" w14:textId="61FDC3F4" w:rsidR="002E3F6C" w:rsidRPr="0018624A" w:rsidRDefault="002E3F6C" w:rsidP="002E3F6C">
      <w:r>
        <w:t xml:space="preserve">The analysis indicates that the liquidity risk is positively </w:t>
      </w:r>
      <w:r w:rsidR="009B7DCA">
        <w:t xml:space="preserve">and significantly related to the </w:t>
      </w:r>
      <w:r w:rsidR="00125586">
        <w:t xml:space="preserve">liquidity risk. This result </w:t>
      </w:r>
      <w:r w:rsidR="00296696">
        <w:t xml:space="preserve">is inconsistent with </w:t>
      </w:r>
      <w:r w:rsidR="00296696" w:rsidRPr="0076605D">
        <w:t xml:space="preserve">. </w:t>
      </w:r>
      <w:r w:rsidR="00296696" w:rsidRPr="0076605D">
        <w:rPr>
          <w:rFonts w:cs="Simplified Arabic"/>
          <w:color w:val="000000" w:themeColor="text1"/>
        </w:rPr>
        <w:fldChar w:fldCharType="begin"/>
      </w:r>
      <w:r w:rsidR="00296696" w:rsidRPr="0076605D">
        <w:rPr>
          <w:rFonts w:cs="Simplified Arabic"/>
          <w:color w:val="000000" w:themeColor="text1"/>
        </w:rPr>
        <w:instrText xml:space="preserve"> ADDIN EN.CITE &lt;EndNote&gt;&lt;Cite&gt;&lt;Author&gt;Mohamad&lt;/Author&gt;&lt;Year&gt;2013&lt;/Year&gt;&lt;RecNum&gt;10&lt;/RecNum&gt;&lt;DisplayText&gt;(Mohamad et al.,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296696" w:rsidRPr="0076605D">
        <w:rPr>
          <w:rFonts w:cs="Simplified Arabic"/>
          <w:color w:val="000000" w:themeColor="text1"/>
        </w:rPr>
        <w:fldChar w:fldCharType="separate"/>
      </w:r>
      <w:r w:rsidR="00296696" w:rsidRPr="0076605D">
        <w:rPr>
          <w:rFonts w:cs="Simplified Arabic"/>
          <w:noProof/>
          <w:color w:val="000000" w:themeColor="text1"/>
        </w:rPr>
        <w:t>(Mohamad et al., 2013)</w:t>
      </w:r>
      <w:r w:rsidR="00296696" w:rsidRPr="0076605D">
        <w:rPr>
          <w:rFonts w:cs="Simplified Arabic"/>
          <w:color w:val="000000" w:themeColor="text1"/>
        </w:rPr>
        <w:fldChar w:fldCharType="end"/>
      </w:r>
      <w:r w:rsidR="00296696" w:rsidRPr="0076605D">
        <w:rPr>
          <w:rFonts w:cs="Simplified Arabic"/>
          <w:color w:val="000000" w:themeColor="text1"/>
        </w:rPr>
        <w:t xml:space="preserve">, </w:t>
      </w:r>
      <w:r w:rsidR="00296696" w:rsidRPr="0076605D">
        <w:rPr>
          <w:rFonts w:asciiTheme="majorBidi" w:hAnsiTheme="majorBidi" w:cstheme="majorBidi"/>
        </w:rPr>
        <w:fldChar w:fldCharType="begin"/>
      </w:r>
      <w:r w:rsidR="00296696">
        <w:rPr>
          <w:rFonts w:asciiTheme="majorBidi" w:hAnsiTheme="majorBidi" w:cstheme="majorBidi"/>
        </w:rPr>
        <w:instrText xml:space="preserve"> ADDIN EN.CITE &lt;EndNote&gt;&lt;Cite&gt;&lt;Author&gt;Khan&lt;/Author&gt;&lt;Year&gt;2008&lt;/Year&gt;&lt;RecNum&gt;7&lt;/RecNum&gt;&lt;DisplayText&gt;(Khan et al., 2008)&lt;/DisplayText&gt;&lt;record&gt;&lt;rec-number&gt;7&lt;/rec-number&gt;&lt;foreign-keys&gt;&lt;key app="EN" db-id="z9fpef0w85zaefe9d2ppz5fdr09av05rvpfp" timestamp="1597656569"&gt;7&lt;/key&gt;&lt;/foreign-keys&gt;&lt;ref-type name="Journal Article"&gt;17&lt;/ref-type&gt;&lt;contributors&gt;&lt;authors&gt;&lt;author&gt;Khan, M Mansoor&lt;/author&gt;&lt;author&gt;Bhatti, M Ishaq&lt;/author&gt;&lt;author&gt;Rosly, Saiful Azhar&lt;/author&gt;&lt;author&gt;Zaini, Mohammad Ashadi Mohd&lt;/author&gt;&lt;/authors&gt;&lt;/contributors&gt;&lt;titles&gt;&lt;title&gt;Risk‐return analysis of Islamic banks&amp;apos; investment deposits and shareholders&amp;apos; fund&lt;/title&gt;&lt;secondary-title&gt;Managerial finance&lt;/secondary-title&gt;&lt;/titles&gt;&lt;periodical&gt;&lt;full-title&gt;Managerial Finance&lt;/full-title&gt;&lt;/periodical&gt;&lt;dates&gt;&lt;year&gt;2008&lt;/year&gt;&lt;/dates&gt;&lt;urls&gt;&lt;/urls&gt;&lt;/record&gt;&lt;/Cite&gt;&lt;/EndNote&gt;</w:instrText>
      </w:r>
      <w:r w:rsidR="00296696" w:rsidRPr="0076605D">
        <w:rPr>
          <w:rFonts w:asciiTheme="majorBidi" w:hAnsiTheme="majorBidi" w:cstheme="majorBidi"/>
        </w:rPr>
        <w:fldChar w:fldCharType="separate"/>
      </w:r>
      <w:r w:rsidR="00296696">
        <w:rPr>
          <w:rFonts w:asciiTheme="majorBidi" w:hAnsiTheme="majorBidi" w:cstheme="majorBidi"/>
          <w:noProof/>
        </w:rPr>
        <w:t>(Khan et al., 2008)</w:t>
      </w:r>
      <w:r w:rsidR="00296696" w:rsidRPr="0076605D">
        <w:rPr>
          <w:rFonts w:asciiTheme="majorBidi" w:hAnsiTheme="majorBidi" w:cstheme="majorBidi"/>
        </w:rPr>
        <w:fldChar w:fldCharType="end"/>
      </w:r>
      <w:r w:rsidR="00296696">
        <w:rPr>
          <w:rFonts w:asciiTheme="majorBidi" w:hAnsiTheme="majorBidi" w:cstheme="majorBidi"/>
        </w:rPr>
        <w:t xml:space="preserve"> who find a positive but insignificant relationship between liquidity risk and profitability. The result reflects that</w:t>
      </w:r>
      <w:r w:rsidR="002B11AE">
        <w:rPr>
          <w:rFonts w:asciiTheme="majorBidi" w:hAnsiTheme="majorBidi" w:cstheme="majorBidi"/>
        </w:rPr>
        <w:t xml:space="preserve"> basic law of finance of the higher the risk the higher the return. </w:t>
      </w:r>
    </w:p>
    <w:p w14:paraId="45D1C367" w14:textId="77777777" w:rsidR="00010983" w:rsidRPr="002F198C" w:rsidRDefault="00010983" w:rsidP="00C17D90">
      <w:pPr>
        <w:pStyle w:val="Heading4"/>
      </w:pPr>
      <w:bookmarkStart w:id="40" w:name="_Toc48682034"/>
      <w:r w:rsidRPr="002F198C">
        <w:t>Islamic Banks</w:t>
      </w:r>
      <w:bookmarkEnd w:id="40"/>
      <w:r w:rsidRPr="002F198C">
        <w:t xml:space="preserve"> </w:t>
      </w:r>
    </w:p>
    <w:p w14:paraId="1B42146C" w14:textId="76CEA6F2" w:rsidR="00010983" w:rsidRDefault="00010983" w:rsidP="00010983">
      <w:r w:rsidRPr="00F51BC3">
        <w:t xml:space="preserve">Results outlined in </w:t>
      </w:r>
      <w:r w:rsidR="00F51BC3" w:rsidRPr="00F51BC3">
        <w:fldChar w:fldCharType="begin"/>
      </w:r>
      <w:r w:rsidR="00F51BC3" w:rsidRPr="00F51BC3">
        <w:instrText xml:space="preserve"> REF _Ref48677036 \h </w:instrText>
      </w:r>
      <w:r w:rsidR="00F51BC3">
        <w:instrText xml:space="preserve"> \* MERGEFORMAT </w:instrText>
      </w:r>
      <w:r w:rsidR="00F51BC3" w:rsidRPr="00F51BC3">
        <w:fldChar w:fldCharType="separate"/>
      </w:r>
      <w:r w:rsidR="00F51BC3" w:rsidRPr="00F51BC3">
        <w:t>Table 11</w:t>
      </w:r>
      <w:r w:rsidR="00F51BC3" w:rsidRPr="00F51BC3">
        <w:fldChar w:fldCharType="end"/>
      </w:r>
      <w:r w:rsidRPr="00F51BC3">
        <w:t xml:space="preserve"> show that the relationship between liquidity risk and the deposit to</w:t>
      </w:r>
      <w:r w:rsidRPr="00AA6DBD">
        <w:t xml:space="preserve"> assets (DA) is negative and significant at a significance level of 5%. This means that</w:t>
      </w:r>
      <w:r>
        <w:t xml:space="preserve"> the increased proportion of deposits to assets results in lower liquidity risk. This result contradicts that obtained </w:t>
      </w:r>
      <w:r w:rsidRPr="00F106AB">
        <w:t xml:space="preserve">for conventional banks. </w:t>
      </w:r>
      <w:r w:rsidR="00385B3E" w:rsidRPr="00F106AB">
        <w:t>This result</w:t>
      </w:r>
      <w:r w:rsidRPr="00F106AB">
        <w:t xml:space="preserve"> </w:t>
      </w:r>
      <w:r w:rsidR="00F106AB" w:rsidRPr="00F106AB">
        <w:t xml:space="preserve">can be settled </w:t>
      </w:r>
      <w:r w:rsidR="00F106AB">
        <w:t>based on the</w:t>
      </w:r>
      <w:r w:rsidR="00F106AB" w:rsidRPr="00F106AB">
        <w:t xml:space="preserve"> fact that the deposits obtained by Islamic</w:t>
      </w:r>
      <w:r w:rsidR="00F106AB">
        <w:t xml:space="preserve"> banks are of an investment type nature (restricted and unrestricted). Therefore, these deposits </w:t>
      </w:r>
      <w:r w:rsidR="00307183">
        <w:t xml:space="preserve">are </w:t>
      </w:r>
      <w:r w:rsidR="00E55A9F">
        <w:t xml:space="preserve">funds of </w:t>
      </w:r>
      <w:r w:rsidR="00307183">
        <w:t>stable nature.</w:t>
      </w:r>
    </w:p>
    <w:p w14:paraId="51162A15" w14:textId="567E3393" w:rsidR="00010983" w:rsidRPr="00226854" w:rsidRDefault="00E55A9F" w:rsidP="00010983">
      <w:r>
        <w:t xml:space="preserve">The cash ratio of Islamic banks has a positive but insignificant relationship </w:t>
      </w:r>
      <w:r w:rsidR="00485C14">
        <w:t xml:space="preserve">with the liquidity risk. </w:t>
      </w:r>
      <w:r>
        <w:t xml:space="preserve"> </w:t>
      </w:r>
      <w:r w:rsidR="00010983">
        <w:t>In addition, the relation between the return on equity (ROE) and liquidity risk is a significantly negative at 5% level of significance</w:t>
      </w:r>
      <w:r w:rsidR="00485C14">
        <w:t xml:space="preserve">. This result contradicts that obtained by </w:t>
      </w:r>
      <w:r w:rsidR="00485C14" w:rsidRPr="0076605D">
        <w:rPr>
          <w:rFonts w:cs="Simplified Arabic"/>
          <w:color w:val="000000" w:themeColor="text1"/>
        </w:rPr>
        <w:fldChar w:fldCharType="begin"/>
      </w:r>
      <w:r w:rsidR="00485C14" w:rsidRPr="0076605D">
        <w:rPr>
          <w:rFonts w:cs="Simplified Arabic"/>
          <w:color w:val="000000" w:themeColor="text1"/>
        </w:rPr>
        <w:instrText xml:space="preserve"> ADDIN EN.CITE &lt;EndNote&gt;&lt;Cite&gt;&lt;Author&gt;Mohamad&lt;/Author&gt;&lt;Year&gt;2013&lt;/Year&gt;&lt;RecNum&gt;10&lt;/RecNum&gt;&lt;DisplayText&gt;(Mohamad et al., 2013)&lt;/DisplayText&gt;&lt;record&gt;&lt;rec-number&gt;10&lt;/rec-number&gt;&lt;foreign-keys&gt;&lt;key app="EN" db-id="ztsvtds96tatwpezaf752f9srez5x0prfwtd" timestamp="1597570301"&gt;10&lt;/key&gt;&lt;/foreign-keys&gt;&lt;ref-type name="Journal Article"&gt;17&lt;/ref-type&gt;&lt;contributors&gt;&lt;authors&gt;&lt;author&gt;Mohamad, Ahmad Azam Sulaiman&lt;/author&gt;&lt;author&gt;Mohamad, Mohammad Taqiuddin&lt;/author&gt;&lt;author&gt;Samsudin, Muhamad Lukman&lt;/author&gt;&lt;/authors&gt;&lt;/contributors&gt;&lt;titles&gt;&lt;title&gt;How Islamic banks of Malaysia managing liquidity? An emphasis on confronting economic cycles&lt;/title&gt;&lt;secondary-title&gt;International Journal of Business and Social Science&lt;/secondary-title&gt;&lt;/titles&gt;&lt;periodical&gt;&lt;full-title&gt;International Journal of Business and Social Science&lt;/full-title&gt;&lt;/periodical&gt;&lt;volume&gt;4&lt;/volume&gt;&lt;number&gt;7&lt;/number&gt;&lt;dates&gt;&lt;year&gt;2013&lt;/year&gt;&lt;/dates&gt;&lt;isbn&gt;2219-1933&lt;/isbn&gt;&lt;urls&gt;&lt;/urls&gt;&lt;/record&gt;&lt;/Cite&gt;&lt;/EndNote&gt;</w:instrText>
      </w:r>
      <w:r w:rsidR="00485C14" w:rsidRPr="0076605D">
        <w:rPr>
          <w:rFonts w:cs="Simplified Arabic"/>
          <w:color w:val="000000" w:themeColor="text1"/>
        </w:rPr>
        <w:fldChar w:fldCharType="separate"/>
      </w:r>
      <w:r w:rsidR="00485C14" w:rsidRPr="0076605D">
        <w:rPr>
          <w:rFonts w:cs="Simplified Arabic"/>
          <w:noProof/>
          <w:color w:val="000000" w:themeColor="text1"/>
        </w:rPr>
        <w:t>(Mohamad et al., 2013)</w:t>
      </w:r>
      <w:r w:rsidR="00485C14" w:rsidRPr="0076605D">
        <w:rPr>
          <w:rFonts w:cs="Simplified Arabic"/>
          <w:color w:val="000000" w:themeColor="text1"/>
        </w:rPr>
        <w:fldChar w:fldCharType="end"/>
      </w:r>
      <w:r w:rsidR="00485C14" w:rsidRPr="0076605D">
        <w:rPr>
          <w:rFonts w:cs="Simplified Arabic"/>
          <w:color w:val="000000" w:themeColor="text1"/>
        </w:rPr>
        <w:t xml:space="preserve">, </w:t>
      </w:r>
      <w:r w:rsidR="00485C14" w:rsidRPr="0076605D">
        <w:rPr>
          <w:rFonts w:asciiTheme="majorBidi" w:hAnsiTheme="majorBidi" w:cstheme="majorBidi"/>
        </w:rPr>
        <w:fldChar w:fldCharType="begin"/>
      </w:r>
      <w:r w:rsidR="00485C14">
        <w:rPr>
          <w:rFonts w:asciiTheme="majorBidi" w:hAnsiTheme="majorBidi" w:cstheme="majorBidi"/>
        </w:rPr>
        <w:instrText xml:space="preserve"> ADDIN EN.CITE &lt;EndNote&gt;&lt;Cite&gt;&lt;Author&gt;Khan&lt;/Author&gt;&lt;Year&gt;2008&lt;/Year&gt;&lt;RecNum&gt;7&lt;/RecNum&gt;&lt;DisplayText&gt;(Khan et al., 2008)&lt;/DisplayText&gt;&lt;record&gt;&lt;rec-number&gt;7&lt;/rec-number&gt;&lt;foreign-keys&gt;&lt;key app="EN" db-id="z9fpef0w85zaefe9d2ppz5fdr09av05rvpfp" timestamp="1597656569"&gt;7&lt;/key&gt;&lt;/foreign-keys&gt;&lt;ref-type name="Journal Article"&gt;17&lt;/ref-type&gt;&lt;contributors&gt;&lt;authors&gt;&lt;author&gt;Khan, M Mansoor&lt;/author&gt;&lt;author&gt;Bhatti, M Ishaq&lt;/author&gt;&lt;author&gt;Rosly, Saiful Azhar&lt;/author&gt;&lt;author&gt;Zaini, Mohammad Ashadi Mohd&lt;/author&gt;&lt;/authors&gt;&lt;/contributors&gt;&lt;titles&gt;&lt;title&gt;Risk‐return analysis of Islamic banks&amp;apos; investment deposits and shareholders&amp;apos; fund&lt;/title&gt;&lt;secondary-title&gt;Managerial finance&lt;/secondary-title&gt;&lt;/titles&gt;&lt;periodical&gt;&lt;full-title&gt;Managerial Finance&lt;/full-title&gt;&lt;/periodical&gt;&lt;dates&gt;&lt;year&gt;2008&lt;/year&gt;&lt;/dates&gt;&lt;urls&gt;&lt;/urls&gt;&lt;/record&gt;&lt;/Cite&gt;&lt;/EndNote&gt;</w:instrText>
      </w:r>
      <w:r w:rsidR="00485C14" w:rsidRPr="0076605D">
        <w:rPr>
          <w:rFonts w:asciiTheme="majorBidi" w:hAnsiTheme="majorBidi" w:cstheme="majorBidi"/>
        </w:rPr>
        <w:fldChar w:fldCharType="separate"/>
      </w:r>
      <w:r w:rsidR="00485C14">
        <w:rPr>
          <w:rFonts w:asciiTheme="majorBidi" w:hAnsiTheme="majorBidi" w:cstheme="majorBidi"/>
          <w:noProof/>
        </w:rPr>
        <w:t>(Khan et al., 2008)</w:t>
      </w:r>
      <w:r w:rsidR="00485C14" w:rsidRPr="0076605D">
        <w:rPr>
          <w:rFonts w:asciiTheme="majorBidi" w:hAnsiTheme="majorBidi" w:cstheme="majorBidi"/>
        </w:rPr>
        <w:fldChar w:fldCharType="end"/>
      </w:r>
      <w:r w:rsidR="00485C14">
        <w:rPr>
          <w:rFonts w:asciiTheme="majorBidi" w:hAnsiTheme="majorBidi" w:cstheme="majorBidi"/>
        </w:rPr>
        <w:t xml:space="preserve">, who find positive and </w:t>
      </w:r>
      <w:r w:rsidR="006300ED">
        <w:rPr>
          <w:rFonts w:asciiTheme="majorBidi" w:hAnsiTheme="majorBidi" w:cstheme="majorBidi"/>
        </w:rPr>
        <w:t>significant relationship between</w:t>
      </w:r>
      <w:r w:rsidR="005D13D3">
        <w:rPr>
          <w:rFonts w:asciiTheme="majorBidi" w:hAnsiTheme="majorBidi" w:cstheme="majorBidi"/>
        </w:rPr>
        <w:t xml:space="preserve"> the ROE and liquidity risk. </w:t>
      </w:r>
      <w:r w:rsidR="00485C14">
        <w:t xml:space="preserve"> </w:t>
      </w:r>
      <w:r w:rsidR="00010983">
        <w:t xml:space="preserve">This result </w:t>
      </w:r>
      <w:r w:rsidR="005D13D3">
        <w:t xml:space="preserve">can be </w:t>
      </w:r>
      <w:r w:rsidR="003F37A1">
        <w:t xml:space="preserve">explained by the fact that the increased profitability of Islamic </w:t>
      </w:r>
      <w:r w:rsidR="007F173F">
        <w:t>b</w:t>
      </w:r>
      <w:r w:rsidR="003F37A1">
        <w:t xml:space="preserve">anks </w:t>
      </w:r>
      <w:r w:rsidR="007F173F">
        <w:t>is</w:t>
      </w:r>
      <w:r w:rsidR="003F37A1">
        <w:t xml:space="preserve"> translated into higher liquidity and lower liquidity risk. </w:t>
      </w:r>
    </w:p>
    <w:p w14:paraId="5A593FF8" w14:textId="53C1360C" w:rsidR="00010983" w:rsidRDefault="00E14744" w:rsidP="008D3F45">
      <w:r>
        <w:t>T</w:t>
      </w:r>
      <w:r w:rsidR="00010983">
        <w:t xml:space="preserve">he capital adequacy ratio </w:t>
      </w:r>
      <w:r w:rsidR="00D31462">
        <w:t>has</w:t>
      </w:r>
      <w:r w:rsidR="00010983">
        <w:t xml:space="preserve"> a negative relationship with the liquidity risk and significant at 5% level of significance. This result is </w:t>
      </w:r>
      <w:r w:rsidR="00825210">
        <w:t>in</w:t>
      </w:r>
      <w:r w:rsidR="00010983">
        <w:t>consistent with</w:t>
      </w:r>
      <w:r w:rsidR="00485C14">
        <w:t xml:space="preserve"> </w:t>
      </w:r>
      <w:r w:rsidR="008D3F45">
        <w:fldChar w:fldCharType="begin"/>
      </w:r>
      <w:r w:rsidR="008D3F45">
        <w:instrText xml:space="preserve"> ADDIN EN.CITE &lt;EndNote&gt;&lt;Cite&gt;&lt;Author&gt;Tarawneh&lt;/Author&gt;&lt;Year&gt;2006&lt;/Year&gt;&lt;RecNum&gt;9&lt;/RecNum&gt;&lt;DisplayText&gt;(Tarawneh, 2006)&lt;/DisplayText&gt;&lt;record&gt;&lt;rec-number&gt;9&lt;/rec-number&gt;&lt;foreign-keys&gt;&lt;key app="EN" db-id="z9fpef0w85zaefe9d2ppz5fdr09av05rvpfp" timestamp="1597656996"&gt;9&lt;/key&gt;&lt;/foreign-keys&gt;&lt;ref-type name="Journal Article"&gt;17&lt;/ref-type&gt;&lt;contributors&gt;&lt;authors&gt;&lt;author&gt;Tarawneh, Medhat&lt;/author&gt;&lt;/authors&gt;&lt;/contributors&gt;&lt;titles&gt;&lt;title&gt;A comparison of financial performance in the banking sector: Some evidence from Omani commercial banks&lt;/title&gt;&lt;secondary-title&gt;International Research Journal of Finance and Economics&lt;/secondary-title&gt;&lt;/titles&gt;&lt;periodical&gt;&lt;full-title&gt;International Research Journal of Finance and Economics&lt;/full-title&gt;&lt;/periodical&gt;&lt;pages&gt;101-112&lt;/pages&gt;&lt;volume&gt;3&lt;/volume&gt;&lt;number&gt;3&lt;/number&gt;&lt;dates&gt;&lt;year&gt;2006&lt;/year&gt;&lt;/dates&gt;&lt;urls&gt;&lt;/urls&gt;&lt;/record&gt;&lt;/Cite&gt;&lt;/EndNote&gt;</w:instrText>
      </w:r>
      <w:r w:rsidR="008D3F45">
        <w:fldChar w:fldCharType="separate"/>
      </w:r>
      <w:r w:rsidR="008D3F45">
        <w:rPr>
          <w:noProof/>
        </w:rPr>
        <w:t>(Tarawneh, 2006)</w:t>
      </w:r>
      <w:r w:rsidR="008D3F45">
        <w:fldChar w:fldCharType="end"/>
      </w:r>
      <w:r w:rsidR="008D3F45" w:rsidRPr="00CA1E34">
        <w:t xml:space="preserve"> </w:t>
      </w:r>
      <w:r w:rsidR="008D3F45">
        <w:t xml:space="preserve">and </w:t>
      </w:r>
      <w:r w:rsidR="008D3F45" w:rsidRPr="00215A26">
        <w:fldChar w:fldCharType="begin"/>
      </w:r>
      <w:r w:rsidR="008D3F45" w:rsidRPr="00215A26">
        <w:instrText xml:space="preserve"> ADDIN EN.CITE &lt;EndNote&gt;&lt;Cite&gt;&lt;Author&gt;Ojo&lt;/Author&gt;&lt;Year&gt;2010&lt;/Year&gt;&lt;RecNum&gt;10&lt;/RecNum&gt;&lt;DisplayText&gt;(Ojo, 2010)&lt;/DisplayText&gt;&lt;record&gt;&lt;rec-number&gt;10&lt;/rec-number&gt;&lt;foreign-keys&gt;&lt;key app="EN" db-id="z9fpef0w85zaefe9d2ppz5fdr09av05rvpfp" timestamp="1597657248"&gt;10&lt;/key&gt;&lt;/foreign-keys&gt;&lt;ref-type name="Journal Article"&gt;17&lt;/ref-type&gt;&lt;contributors&gt;&lt;authors&gt;&lt;author&gt;Ojo, Marianne&lt;/author&gt;&lt;/authors&gt;&lt;/contributors&gt;&lt;titles&gt;&lt;title&gt;Risk management by the Basel Committee&lt;/title&gt;&lt;secondary-title&gt;Journal of Financial Regulation and Compliance&lt;/secondary-title&gt;&lt;/titles&gt;&lt;periodical&gt;&lt;full-title&gt;Journal of Financial Regulation and Compliance&lt;/full-title&gt;&lt;/periodical&gt;&lt;dates&gt;&lt;year&gt;2010&lt;/year&gt;&lt;/dates&gt;&lt;isbn&gt;1358-1988&lt;/isbn&gt;&lt;urls&gt;&lt;/urls&gt;&lt;/record&gt;&lt;/Cite&gt;&lt;/EndNote&gt;</w:instrText>
      </w:r>
      <w:r w:rsidR="008D3F45" w:rsidRPr="00215A26">
        <w:fldChar w:fldCharType="separate"/>
      </w:r>
      <w:r w:rsidR="008D3F45" w:rsidRPr="00215A26">
        <w:rPr>
          <w:noProof/>
        </w:rPr>
        <w:t>(Ojo, 2010)</w:t>
      </w:r>
      <w:r w:rsidR="008D3F45" w:rsidRPr="00215A26">
        <w:fldChar w:fldCharType="end"/>
      </w:r>
      <w:r w:rsidR="008D3F45">
        <w:t xml:space="preserve">. This reflects that increasing capital and reserves has the effect of decreasing liquidity risk. </w:t>
      </w:r>
    </w:p>
    <w:p w14:paraId="54488F6E" w14:textId="4EF6FF95" w:rsidR="00632E62" w:rsidRDefault="00773F38" w:rsidP="00773F38">
      <w:pPr>
        <w:pStyle w:val="Heading2"/>
      </w:pPr>
      <w:r>
        <w:t xml:space="preserve">Conclusion </w:t>
      </w:r>
    </w:p>
    <w:p w14:paraId="444C313A" w14:textId="3D3B1BED" w:rsidR="004C1B50" w:rsidRPr="00166E8B" w:rsidRDefault="007660F6" w:rsidP="00A33808">
      <w:pPr>
        <w:rPr>
          <w:lang w:val="en"/>
        </w:rPr>
      </w:pPr>
      <w:r w:rsidRPr="00166E8B">
        <w:rPr>
          <w:lang w:val="en"/>
        </w:rPr>
        <w:t>The above results are</w:t>
      </w:r>
      <w:r w:rsidR="00383685" w:rsidRPr="00166E8B">
        <w:rPr>
          <w:lang w:val="en"/>
        </w:rPr>
        <w:t xml:space="preserve"> </w:t>
      </w:r>
      <w:r w:rsidR="00166E8B">
        <w:rPr>
          <w:lang w:val="en"/>
        </w:rPr>
        <w:t>summarized</w:t>
      </w:r>
      <w:r w:rsidR="00383685" w:rsidRPr="00166E8B">
        <w:rPr>
          <w:lang w:val="en"/>
        </w:rPr>
        <w:t xml:space="preserve"> in </w:t>
      </w:r>
      <w:r w:rsidR="00166E8B" w:rsidRPr="00166E8B">
        <w:rPr>
          <w:lang w:val="en"/>
        </w:rPr>
        <w:fldChar w:fldCharType="begin"/>
      </w:r>
      <w:r w:rsidR="00166E8B" w:rsidRPr="00166E8B">
        <w:rPr>
          <w:lang w:val="en"/>
        </w:rPr>
        <w:instrText xml:space="preserve"> REF _Ref49249847 \h  \* MERGEFORMAT </w:instrText>
      </w:r>
      <w:r w:rsidR="00166E8B" w:rsidRPr="00166E8B">
        <w:rPr>
          <w:lang w:val="en"/>
        </w:rPr>
      </w:r>
      <w:r w:rsidR="00166E8B" w:rsidRPr="00166E8B">
        <w:rPr>
          <w:lang w:val="en"/>
        </w:rPr>
        <w:fldChar w:fldCharType="separate"/>
      </w:r>
      <w:r w:rsidR="00166E8B" w:rsidRPr="00166E8B">
        <w:rPr>
          <w:sz w:val="22"/>
        </w:rPr>
        <w:t xml:space="preserve">Table </w:t>
      </w:r>
      <w:r w:rsidR="00166E8B" w:rsidRPr="00166E8B">
        <w:rPr>
          <w:noProof/>
          <w:sz w:val="22"/>
        </w:rPr>
        <w:t>12</w:t>
      </w:r>
      <w:r w:rsidR="00166E8B" w:rsidRPr="00166E8B">
        <w:rPr>
          <w:lang w:val="en"/>
        </w:rPr>
        <w:fldChar w:fldCharType="end"/>
      </w:r>
      <w:r w:rsidR="00166E8B">
        <w:rPr>
          <w:lang w:val="en"/>
        </w:rPr>
        <w:t xml:space="preserve">. It is clear the wide discrepancy in the results obtained. The cash ratio and ROE share the same sign between the two groups of Banks. However, their significance </w:t>
      </w:r>
      <w:r w:rsidR="00CD2F4A">
        <w:rPr>
          <w:lang w:val="en"/>
        </w:rPr>
        <w:t>is</w:t>
      </w:r>
      <w:r w:rsidR="00166E8B">
        <w:rPr>
          <w:lang w:val="en"/>
        </w:rPr>
        <w:t xml:space="preserve"> </w:t>
      </w:r>
      <w:r w:rsidR="00CD2F4A">
        <w:rPr>
          <w:lang w:val="en"/>
        </w:rPr>
        <w:t>different. ROE have consistent sign with different significance</w:t>
      </w:r>
      <w:r w:rsidR="00725D5D">
        <w:rPr>
          <w:lang w:val="en"/>
        </w:rPr>
        <w:t xml:space="preserve"> between the two groups of banks</w:t>
      </w:r>
      <w:r w:rsidR="00CD2F4A">
        <w:rPr>
          <w:lang w:val="en"/>
        </w:rPr>
        <w:t xml:space="preserve">. The other two variables </w:t>
      </w:r>
      <w:r w:rsidR="00725D5D">
        <w:rPr>
          <w:lang w:val="en"/>
        </w:rPr>
        <w:t xml:space="preserve">have different sign and significance. This reflects that in spite </w:t>
      </w:r>
      <w:r w:rsidR="005F4D64">
        <w:rPr>
          <w:lang w:val="en"/>
        </w:rPr>
        <w:t>the</w:t>
      </w:r>
      <w:r w:rsidR="00725D5D">
        <w:rPr>
          <w:lang w:val="en"/>
        </w:rPr>
        <w:t xml:space="preserve"> two groups of banks share the same macroeconomic and sociocultural environments, their </w:t>
      </w:r>
      <w:r w:rsidR="005F4D64">
        <w:rPr>
          <w:lang w:val="en"/>
        </w:rPr>
        <w:t xml:space="preserve">liquidity risk management are different. This </w:t>
      </w:r>
      <w:r w:rsidR="00A777FC">
        <w:rPr>
          <w:lang w:val="en"/>
        </w:rPr>
        <w:t xml:space="preserve">result emphasizes the two groups </w:t>
      </w:r>
      <w:r w:rsidR="00A777FC">
        <w:rPr>
          <w:lang w:val="en"/>
        </w:rPr>
        <w:lastRenderedPageBreak/>
        <w:t xml:space="preserve">of banks are fundamentally different therefore their risk management practices are different. </w:t>
      </w:r>
      <w:r w:rsidR="00A33808">
        <w:rPr>
          <w:lang w:val="en"/>
        </w:rPr>
        <w:t xml:space="preserve"> Therefore, we find that Shari’ah compliance has effects of the risk management practices of Islamic banks.  </w:t>
      </w:r>
    </w:p>
    <w:p w14:paraId="5AEA0660" w14:textId="42A114F7" w:rsidR="00166E8B" w:rsidRPr="00166E8B" w:rsidRDefault="00166E8B" w:rsidP="00166E8B">
      <w:pPr>
        <w:pStyle w:val="Caption"/>
        <w:spacing w:after="0"/>
        <w:jc w:val="left"/>
        <w:rPr>
          <w:b/>
          <w:bCs/>
          <w:i w:val="0"/>
          <w:iCs w:val="0"/>
          <w:color w:val="auto"/>
          <w:sz w:val="22"/>
          <w:szCs w:val="22"/>
          <w:lang w:val="en"/>
        </w:rPr>
      </w:pPr>
      <w:bookmarkStart w:id="41" w:name="_Ref49249847"/>
      <w:r w:rsidRPr="00166E8B">
        <w:rPr>
          <w:b/>
          <w:bCs/>
          <w:i w:val="0"/>
          <w:iCs w:val="0"/>
          <w:color w:val="auto"/>
          <w:sz w:val="22"/>
          <w:szCs w:val="22"/>
        </w:rPr>
        <w:t xml:space="preserve">Table </w:t>
      </w:r>
      <w:r w:rsidRPr="00166E8B">
        <w:rPr>
          <w:b/>
          <w:bCs/>
          <w:i w:val="0"/>
          <w:iCs w:val="0"/>
          <w:color w:val="auto"/>
          <w:sz w:val="22"/>
          <w:szCs w:val="22"/>
        </w:rPr>
        <w:fldChar w:fldCharType="begin"/>
      </w:r>
      <w:r w:rsidRPr="00166E8B">
        <w:rPr>
          <w:b/>
          <w:bCs/>
          <w:i w:val="0"/>
          <w:iCs w:val="0"/>
          <w:color w:val="auto"/>
          <w:sz w:val="22"/>
          <w:szCs w:val="22"/>
        </w:rPr>
        <w:instrText xml:space="preserve"> SEQ Table \* ARABIC </w:instrText>
      </w:r>
      <w:r w:rsidRPr="00166E8B">
        <w:rPr>
          <w:b/>
          <w:bCs/>
          <w:i w:val="0"/>
          <w:iCs w:val="0"/>
          <w:color w:val="auto"/>
          <w:sz w:val="22"/>
          <w:szCs w:val="22"/>
        </w:rPr>
        <w:fldChar w:fldCharType="separate"/>
      </w:r>
      <w:r w:rsidRPr="00166E8B">
        <w:rPr>
          <w:b/>
          <w:bCs/>
          <w:i w:val="0"/>
          <w:iCs w:val="0"/>
          <w:noProof/>
          <w:color w:val="auto"/>
          <w:sz w:val="22"/>
          <w:szCs w:val="22"/>
        </w:rPr>
        <w:t>12</w:t>
      </w:r>
      <w:r w:rsidRPr="00166E8B">
        <w:rPr>
          <w:b/>
          <w:bCs/>
          <w:i w:val="0"/>
          <w:iCs w:val="0"/>
          <w:color w:val="auto"/>
          <w:sz w:val="22"/>
          <w:szCs w:val="22"/>
        </w:rPr>
        <w:fldChar w:fldCharType="end"/>
      </w:r>
      <w:bookmarkEnd w:id="41"/>
      <w:r w:rsidRPr="00166E8B">
        <w:rPr>
          <w:b/>
          <w:bCs/>
          <w:i w:val="0"/>
          <w:iCs w:val="0"/>
          <w:color w:val="auto"/>
          <w:sz w:val="22"/>
          <w:szCs w:val="22"/>
        </w:rPr>
        <w:t>: Summary of Statistical Analysis</w:t>
      </w:r>
    </w:p>
    <w:tbl>
      <w:tblPr>
        <w:tblStyle w:val="TableGrid"/>
        <w:tblW w:w="0" w:type="auto"/>
        <w:tblLook w:val="04A0" w:firstRow="1" w:lastRow="0" w:firstColumn="1" w:lastColumn="0" w:noHBand="0" w:noVBand="1"/>
      </w:tblPr>
      <w:tblGrid>
        <w:gridCol w:w="1264"/>
        <w:gridCol w:w="763"/>
        <w:gridCol w:w="2507"/>
        <w:gridCol w:w="314"/>
        <w:gridCol w:w="763"/>
        <w:gridCol w:w="2382"/>
      </w:tblGrid>
      <w:tr w:rsidR="00383685" w:rsidRPr="00383685" w14:paraId="76A448DE" w14:textId="77777777" w:rsidTr="00166E8B">
        <w:trPr>
          <w:trHeight w:val="337"/>
        </w:trPr>
        <w:tc>
          <w:tcPr>
            <w:tcW w:w="1264" w:type="dxa"/>
            <w:noWrap/>
            <w:hideMark/>
          </w:tcPr>
          <w:p w14:paraId="631676EB" w14:textId="77777777" w:rsidR="00383685" w:rsidRPr="00383685" w:rsidRDefault="00383685" w:rsidP="00166E8B">
            <w:r w:rsidRPr="00383685">
              <w:t> </w:t>
            </w:r>
          </w:p>
        </w:tc>
        <w:tc>
          <w:tcPr>
            <w:tcW w:w="3270" w:type="dxa"/>
            <w:gridSpan w:val="2"/>
            <w:noWrap/>
            <w:hideMark/>
          </w:tcPr>
          <w:p w14:paraId="6FDD017D" w14:textId="77777777" w:rsidR="00383685" w:rsidRPr="00383685" w:rsidRDefault="00383685" w:rsidP="005F4D64">
            <w:pPr>
              <w:jc w:val="center"/>
              <w:rPr>
                <w:b/>
                <w:bCs/>
              </w:rPr>
            </w:pPr>
            <w:r w:rsidRPr="00383685">
              <w:rPr>
                <w:b/>
                <w:bCs/>
              </w:rPr>
              <w:t>Conventional Banks</w:t>
            </w:r>
          </w:p>
        </w:tc>
        <w:tc>
          <w:tcPr>
            <w:tcW w:w="314" w:type="dxa"/>
            <w:tcBorders>
              <w:top w:val="nil"/>
              <w:bottom w:val="nil"/>
            </w:tcBorders>
            <w:noWrap/>
            <w:hideMark/>
          </w:tcPr>
          <w:p w14:paraId="0C8F1CBD" w14:textId="4A930440" w:rsidR="00383685" w:rsidRPr="00383685" w:rsidRDefault="00383685" w:rsidP="005F4D64">
            <w:pPr>
              <w:jc w:val="center"/>
            </w:pPr>
          </w:p>
        </w:tc>
        <w:tc>
          <w:tcPr>
            <w:tcW w:w="3145" w:type="dxa"/>
            <w:gridSpan w:val="2"/>
            <w:noWrap/>
            <w:hideMark/>
          </w:tcPr>
          <w:p w14:paraId="694E29BE" w14:textId="77777777" w:rsidR="00383685" w:rsidRPr="00383685" w:rsidRDefault="00383685" w:rsidP="005F4D64">
            <w:pPr>
              <w:jc w:val="center"/>
              <w:rPr>
                <w:b/>
                <w:bCs/>
              </w:rPr>
            </w:pPr>
            <w:r w:rsidRPr="00383685">
              <w:rPr>
                <w:b/>
                <w:bCs/>
              </w:rPr>
              <w:t>Islamic Banks</w:t>
            </w:r>
          </w:p>
        </w:tc>
      </w:tr>
      <w:tr w:rsidR="00383685" w:rsidRPr="00383685" w14:paraId="558AB720" w14:textId="77777777" w:rsidTr="00166E8B">
        <w:trPr>
          <w:trHeight w:val="337"/>
        </w:trPr>
        <w:tc>
          <w:tcPr>
            <w:tcW w:w="1264" w:type="dxa"/>
            <w:noWrap/>
            <w:hideMark/>
          </w:tcPr>
          <w:p w14:paraId="178C6D9A" w14:textId="77777777" w:rsidR="00383685" w:rsidRPr="00383685" w:rsidRDefault="00383685" w:rsidP="00383685">
            <w:pPr>
              <w:rPr>
                <w:b/>
                <w:bCs/>
              </w:rPr>
            </w:pPr>
            <w:r w:rsidRPr="00383685">
              <w:rPr>
                <w:b/>
                <w:bCs/>
              </w:rPr>
              <w:t>Variable</w:t>
            </w:r>
          </w:p>
        </w:tc>
        <w:tc>
          <w:tcPr>
            <w:tcW w:w="763" w:type="dxa"/>
            <w:noWrap/>
            <w:hideMark/>
          </w:tcPr>
          <w:p w14:paraId="015577A7" w14:textId="258DE6A9" w:rsidR="00383685" w:rsidRPr="00383685" w:rsidRDefault="00383685" w:rsidP="00383685">
            <w:pPr>
              <w:jc w:val="center"/>
              <w:rPr>
                <w:b/>
                <w:bCs/>
              </w:rPr>
            </w:pPr>
            <w:r w:rsidRPr="00383685">
              <w:rPr>
                <w:b/>
                <w:bCs/>
              </w:rPr>
              <w:t>Sign</w:t>
            </w:r>
          </w:p>
        </w:tc>
        <w:tc>
          <w:tcPr>
            <w:tcW w:w="2507" w:type="dxa"/>
            <w:noWrap/>
            <w:hideMark/>
          </w:tcPr>
          <w:p w14:paraId="46DBF8D1" w14:textId="77777777" w:rsidR="00383685" w:rsidRPr="00383685" w:rsidRDefault="00383685" w:rsidP="00383685">
            <w:pPr>
              <w:jc w:val="center"/>
              <w:rPr>
                <w:b/>
                <w:bCs/>
              </w:rPr>
            </w:pPr>
            <w:r w:rsidRPr="00383685">
              <w:rPr>
                <w:b/>
                <w:bCs/>
              </w:rPr>
              <w:t>Significant @5%</w:t>
            </w:r>
          </w:p>
        </w:tc>
        <w:tc>
          <w:tcPr>
            <w:tcW w:w="314" w:type="dxa"/>
            <w:tcBorders>
              <w:top w:val="nil"/>
              <w:bottom w:val="nil"/>
            </w:tcBorders>
            <w:noWrap/>
            <w:hideMark/>
          </w:tcPr>
          <w:p w14:paraId="7FE537C6" w14:textId="77777777" w:rsidR="00383685" w:rsidRPr="00383685" w:rsidRDefault="00383685" w:rsidP="00383685">
            <w:pPr>
              <w:rPr>
                <w:b/>
                <w:bCs/>
              </w:rPr>
            </w:pPr>
            <w:r w:rsidRPr="00383685">
              <w:rPr>
                <w:b/>
                <w:bCs/>
              </w:rPr>
              <w:t> </w:t>
            </w:r>
          </w:p>
        </w:tc>
        <w:tc>
          <w:tcPr>
            <w:tcW w:w="763" w:type="dxa"/>
            <w:noWrap/>
            <w:hideMark/>
          </w:tcPr>
          <w:p w14:paraId="1799A809" w14:textId="2604E9E6" w:rsidR="00383685" w:rsidRPr="00383685" w:rsidRDefault="00383685" w:rsidP="00383685">
            <w:pPr>
              <w:jc w:val="center"/>
              <w:rPr>
                <w:b/>
                <w:bCs/>
              </w:rPr>
            </w:pPr>
            <w:r w:rsidRPr="00383685">
              <w:rPr>
                <w:b/>
                <w:bCs/>
              </w:rPr>
              <w:t>Sign</w:t>
            </w:r>
          </w:p>
        </w:tc>
        <w:tc>
          <w:tcPr>
            <w:tcW w:w="2382" w:type="dxa"/>
            <w:noWrap/>
            <w:hideMark/>
          </w:tcPr>
          <w:p w14:paraId="7CD0138B" w14:textId="77777777" w:rsidR="00383685" w:rsidRPr="00383685" w:rsidRDefault="00383685" w:rsidP="00383685">
            <w:pPr>
              <w:jc w:val="center"/>
              <w:rPr>
                <w:b/>
                <w:bCs/>
              </w:rPr>
            </w:pPr>
            <w:r w:rsidRPr="00383685">
              <w:rPr>
                <w:b/>
                <w:bCs/>
              </w:rPr>
              <w:t>Significant @5%</w:t>
            </w:r>
          </w:p>
        </w:tc>
      </w:tr>
      <w:tr w:rsidR="00383685" w:rsidRPr="00383685" w14:paraId="462B1C17" w14:textId="77777777" w:rsidTr="00166E8B">
        <w:trPr>
          <w:trHeight w:val="337"/>
        </w:trPr>
        <w:tc>
          <w:tcPr>
            <w:tcW w:w="1264" w:type="dxa"/>
            <w:noWrap/>
            <w:hideMark/>
          </w:tcPr>
          <w:p w14:paraId="45A03BBD" w14:textId="77777777" w:rsidR="00383685" w:rsidRPr="00383685" w:rsidRDefault="00383685" w:rsidP="00383685">
            <w:r w:rsidRPr="00383685">
              <w:t>DA</w:t>
            </w:r>
          </w:p>
        </w:tc>
        <w:tc>
          <w:tcPr>
            <w:tcW w:w="763" w:type="dxa"/>
            <w:noWrap/>
            <w:hideMark/>
          </w:tcPr>
          <w:p w14:paraId="2F2097D4" w14:textId="77777777" w:rsidR="00383685" w:rsidRPr="00383685" w:rsidRDefault="00383685" w:rsidP="00383685">
            <w:pPr>
              <w:jc w:val="center"/>
            </w:pPr>
            <w:r w:rsidRPr="00383685">
              <w:t>+</w:t>
            </w:r>
          </w:p>
        </w:tc>
        <w:tc>
          <w:tcPr>
            <w:tcW w:w="2507" w:type="dxa"/>
            <w:noWrap/>
            <w:hideMark/>
          </w:tcPr>
          <w:p w14:paraId="106D7583" w14:textId="77777777" w:rsidR="00383685" w:rsidRPr="00383685" w:rsidRDefault="00383685" w:rsidP="00383685">
            <w:pPr>
              <w:jc w:val="center"/>
            </w:pPr>
            <w:r w:rsidRPr="00383685">
              <w:t>Yes</w:t>
            </w:r>
          </w:p>
        </w:tc>
        <w:tc>
          <w:tcPr>
            <w:tcW w:w="314" w:type="dxa"/>
            <w:tcBorders>
              <w:top w:val="nil"/>
              <w:bottom w:val="nil"/>
            </w:tcBorders>
            <w:noWrap/>
            <w:hideMark/>
          </w:tcPr>
          <w:p w14:paraId="5241DFBB" w14:textId="77777777" w:rsidR="00383685" w:rsidRPr="00383685" w:rsidRDefault="00383685" w:rsidP="00383685">
            <w:r w:rsidRPr="00383685">
              <w:t> </w:t>
            </w:r>
          </w:p>
        </w:tc>
        <w:tc>
          <w:tcPr>
            <w:tcW w:w="763" w:type="dxa"/>
            <w:noWrap/>
            <w:hideMark/>
          </w:tcPr>
          <w:p w14:paraId="4430EB2A" w14:textId="77777777" w:rsidR="00383685" w:rsidRPr="00383685" w:rsidRDefault="00383685" w:rsidP="00383685">
            <w:pPr>
              <w:jc w:val="center"/>
            </w:pPr>
            <w:r w:rsidRPr="00383685">
              <w:t>-</w:t>
            </w:r>
          </w:p>
        </w:tc>
        <w:tc>
          <w:tcPr>
            <w:tcW w:w="2382" w:type="dxa"/>
            <w:noWrap/>
            <w:hideMark/>
          </w:tcPr>
          <w:p w14:paraId="23BA891E" w14:textId="77777777" w:rsidR="00383685" w:rsidRPr="00383685" w:rsidRDefault="00383685" w:rsidP="00383685">
            <w:pPr>
              <w:jc w:val="center"/>
            </w:pPr>
            <w:r w:rsidRPr="00383685">
              <w:t>Yes</w:t>
            </w:r>
          </w:p>
        </w:tc>
      </w:tr>
      <w:tr w:rsidR="00383685" w:rsidRPr="00383685" w14:paraId="7CFE9F9E" w14:textId="77777777" w:rsidTr="00166E8B">
        <w:trPr>
          <w:trHeight w:val="337"/>
        </w:trPr>
        <w:tc>
          <w:tcPr>
            <w:tcW w:w="1264" w:type="dxa"/>
            <w:noWrap/>
            <w:hideMark/>
          </w:tcPr>
          <w:p w14:paraId="7EE1702C" w14:textId="77777777" w:rsidR="00383685" w:rsidRPr="00383685" w:rsidRDefault="00383685" w:rsidP="00383685">
            <w:r w:rsidRPr="00383685">
              <w:t>CR</w:t>
            </w:r>
          </w:p>
        </w:tc>
        <w:tc>
          <w:tcPr>
            <w:tcW w:w="763" w:type="dxa"/>
            <w:noWrap/>
            <w:hideMark/>
          </w:tcPr>
          <w:p w14:paraId="299955AD" w14:textId="77777777" w:rsidR="00383685" w:rsidRPr="00383685" w:rsidRDefault="00383685" w:rsidP="00383685">
            <w:pPr>
              <w:jc w:val="center"/>
            </w:pPr>
            <w:r w:rsidRPr="00383685">
              <w:t>+</w:t>
            </w:r>
          </w:p>
        </w:tc>
        <w:tc>
          <w:tcPr>
            <w:tcW w:w="2507" w:type="dxa"/>
            <w:noWrap/>
            <w:hideMark/>
          </w:tcPr>
          <w:p w14:paraId="7A7893E7" w14:textId="77777777" w:rsidR="00383685" w:rsidRPr="00383685" w:rsidRDefault="00383685" w:rsidP="00383685">
            <w:pPr>
              <w:jc w:val="center"/>
            </w:pPr>
            <w:r w:rsidRPr="00383685">
              <w:t>Yes</w:t>
            </w:r>
          </w:p>
        </w:tc>
        <w:tc>
          <w:tcPr>
            <w:tcW w:w="314" w:type="dxa"/>
            <w:tcBorders>
              <w:top w:val="nil"/>
              <w:bottom w:val="nil"/>
            </w:tcBorders>
            <w:noWrap/>
            <w:hideMark/>
          </w:tcPr>
          <w:p w14:paraId="7ECEFEBF" w14:textId="77777777" w:rsidR="00383685" w:rsidRPr="00383685" w:rsidRDefault="00383685" w:rsidP="00383685">
            <w:r w:rsidRPr="00383685">
              <w:t> </w:t>
            </w:r>
          </w:p>
        </w:tc>
        <w:tc>
          <w:tcPr>
            <w:tcW w:w="763" w:type="dxa"/>
            <w:noWrap/>
            <w:hideMark/>
          </w:tcPr>
          <w:p w14:paraId="660FF313" w14:textId="77777777" w:rsidR="00383685" w:rsidRPr="00383685" w:rsidRDefault="00383685" w:rsidP="00383685">
            <w:pPr>
              <w:jc w:val="center"/>
            </w:pPr>
            <w:r w:rsidRPr="00383685">
              <w:t>+</w:t>
            </w:r>
          </w:p>
        </w:tc>
        <w:tc>
          <w:tcPr>
            <w:tcW w:w="2382" w:type="dxa"/>
            <w:noWrap/>
            <w:hideMark/>
          </w:tcPr>
          <w:p w14:paraId="0CED0C54" w14:textId="77777777" w:rsidR="00383685" w:rsidRPr="00383685" w:rsidRDefault="00383685" w:rsidP="00383685">
            <w:pPr>
              <w:jc w:val="center"/>
            </w:pPr>
            <w:r w:rsidRPr="00383685">
              <w:t>No</w:t>
            </w:r>
          </w:p>
        </w:tc>
      </w:tr>
      <w:tr w:rsidR="00383685" w:rsidRPr="00383685" w14:paraId="393F05AF" w14:textId="77777777" w:rsidTr="00166E8B">
        <w:trPr>
          <w:trHeight w:val="337"/>
        </w:trPr>
        <w:tc>
          <w:tcPr>
            <w:tcW w:w="1264" w:type="dxa"/>
            <w:noWrap/>
            <w:hideMark/>
          </w:tcPr>
          <w:p w14:paraId="4F3E7DF0" w14:textId="77777777" w:rsidR="00383685" w:rsidRPr="00383685" w:rsidRDefault="00383685" w:rsidP="00383685">
            <w:r w:rsidRPr="00383685">
              <w:t>CAR</w:t>
            </w:r>
          </w:p>
        </w:tc>
        <w:tc>
          <w:tcPr>
            <w:tcW w:w="763" w:type="dxa"/>
            <w:noWrap/>
            <w:hideMark/>
          </w:tcPr>
          <w:p w14:paraId="2B723EAC" w14:textId="77777777" w:rsidR="00383685" w:rsidRPr="00383685" w:rsidRDefault="00383685" w:rsidP="00383685">
            <w:pPr>
              <w:jc w:val="center"/>
            </w:pPr>
            <w:r w:rsidRPr="00383685">
              <w:t>-</w:t>
            </w:r>
          </w:p>
        </w:tc>
        <w:tc>
          <w:tcPr>
            <w:tcW w:w="2507" w:type="dxa"/>
            <w:noWrap/>
            <w:hideMark/>
          </w:tcPr>
          <w:p w14:paraId="58DB2832" w14:textId="77777777" w:rsidR="00383685" w:rsidRPr="00383685" w:rsidRDefault="00383685" w:rsidP="00383685">
            <w:pPr>
              <w:jc w:val="center"/>
            </w:pPr>
            <w:r w:rsidRPr="00383685">
              <w:t>No</w:t>
            </w:r>
          </w:p>
        </w:tc>
        <w:tc>
          <w:tcPr>
            <w:tcW w:w="314" w:type="dxa"/>
            <w:tcBorders>
              <w:top w:val="nil"/>
              <w:bottom w:val="nil"/>
            </w:tcBorders>
            <w:noWrap/>
            <w:hideMark/>
          </w:tcPr>
          <w:p w14:paraId="6AA1EC97" w14:textId="77777777" w:rsidR="00383685" w:rsidRPr="00383685" w:rsidRDefault="00383685" w:rsidP="00383685">
            <w:r w:rsidRPr="00383685">
              <w:t> </w:t>
            </w:r>
          </w:p>
        </w:tc>
        <w:tc>
          <w:tcPr>
            <w:tcW w:w="763" w:type="dxa"/>
            <w:noWrap/>
            <w:hideMark/>
          </w:tcPr>
          <w:p w14:paraId="60FE424F" w14:textId="77777777" w:rsidR="00383685" w:rsidRPr="00383685" w:rsidRDefault="00383685" w:rsidP="00383685">
            <w:pPr>
              <w:jc w:val="center"/>
            </w:pPr>
            <w:r w:rsidRPr="00383685">
              <w:t>-</w:t>
            </w:r>
          </w:p>
        </w:tc>
        <w:tc>
          <w:tcPr>
            <w:tcW w:w="2382" w:type="dxa"/>
            <w:noWrap/>
            <w:hideMark/>
          </w:tcPr>
          <w:p w14:paraId="1542A84B" w14:textId="77777777" w:rsidR="00383685" w:rsidRPr="00383685" w:rsidRDefault="00383685" w:rsidP="00383685">
            <w:pPr>
              <w:jc w:val="center"/>
            </w:pPr>
            <w:r w:rsidRPr="00383685">
              <w:t>Yes</w:t>
            </w:r>
          </w:p>
        </w:tc>
      </w:tr>
      <w:tr w:rsidR="00383685" w:rsidRPr="00383685" w14:paraId="353FD77B" w14:textId="77777777" w:rsidTr="00166E8B">
        <w:trPr>
          <w:trHeight w:val="337"/>
        </w:trPr>
        <w:tc>
          <w:tcPr>
            <w:tcW w:w="1264" w:type="dxa"/>
            <w:noWrap/>
            <w:hideMark/>
          </w:tcPr>
          <w:p w14:paraId="41C9EC81" w14:textId="77777777" w:rsidR="00383685" w:rsidRPr="00383685" w:rsidRDefault="00383685" w:rsidP="00383685">
            <w:r w:rsidRPr="00383685">
              <w:t>ROE</w:t>
            </w:r>
          </w:p>
        </w:tc>
        <w:tc>
          <w:tcPr>
            <w:tcW w:w="763" w:type="dxa"/>
            <w:noWrap/>
            <w:hideMark/>
          </w:tcPr>
          <w:p w14:paraId="7A82FA36" w14:textId="77777777" w:rsidR="00383685" w:rsidRPr="00383685" w:rsidRDefault="00383685" w:rsidP="00383685">
            <w:pPr>
              <w:jc w:val="center"/>
            </w:pPr>
            <w:r w:rsidRPr="00383685">
              <w:t>-</w:t>
            </w:r>
          </w:p>
        </w:tc>
        <w:tc>
          <w:tcPr>
            <w:tcW w:w="2507" w:type="dxa"/>
            <w:noWrap/>
            <w:hideMark/>
          </w:tcPr>
          <w:p w14:paraId="0DC5D24C" w14:textId="77777777" w:rsidR="00383685" w:rsidRPr="00383685" w:rsidRDefault="00383685" w:rsidP="00383685">
            <w:pPr>
              <w:jc w:val="center"/>
            </w:pPr>
            <w:r w:rsidRPr="00383685">
              <w:t>No</w:t>
            </w:r>
          </w:p>
        </w:tc>
        <w:tc>
          <w:tcPr>
            <w:tcW w:w="314" w:type="dxa"/>
            <w:tcBorders>
              <w:top w:val="nil"/>
              <w:bottom w:val="nil"/>
            </w:tcBorders>
            <w:noWrap/>
            <w:hideMark/>
          </w:tcPr>
          <w:p w14:paraId="792157A4" w14:textId="77777777" w:rsidR="00383685" w:rsidRPr="00383685" w:rsidRDefault="00383685" w:rsidP="00383685">
            <w:r w:rsidRPr="00383685">
              <w:t> </w:t>
            </w:r>
          </w:p>
        </w:tc>
        <w:tc>
          <w:tcPr>
            <w:tcW w:w="763" w:type="dxa"/>
            <w:noWrap/>
            <w:hideMark/>
          </w:tcPr>
          <w:p w14:paraId="0F2C2AF6" w14:textId="77777777" w:rsidR="00383685" w:rsidRPr="00383685" w:rsidRDefault="00383685" w:rsidP="00383685">
            <w:pPr>
              <w:jc w:val="center"/>
            </w:pPr>
            <w:r w:rsidRPr="00383685">
              <w:t>-</w:t>
            </w:r>
          </w:p>
        </w:tc>
        <w:tc>
          <w:tcPr>
            <w:tcW w:w="2382" w:type="dxa"/>
            <w:noWrap/>
            <w:hideMark/>
          </w:tcPr>
          <w:p w14:paraId="2C78E6ED" w14:textId="77777777" w:rsidR="00383685" w:rsidRPr="00383685" w:rsidRDefault="00383685" w:rsidP="00383685">
            <w:pPr>
              <w:jc w:val="center"/>
            </w:pPr>
            <w:r w:rsidRPr="00383685">
              <w:t>Yes</w:t>
            </w:r>
          </w:p>
        </w:tc>
      </w:tr>
    </w:tbl>
    <w:p w14:paraId="2F53E405" w14:textId="405F6603" w:rsidR="00383685" w:rsidRDefault="00383685" w:rsidP="007102B8">
      <w:pPr>
        <w:rPr>
          <w:lang w:val="en"/>
        </w:rPr>
      </w:pPr>
    </w:p>
    <w:p w14:paraId="393B0210" w14:textId="5CDF7174" w:rsidR="00010983" w:rsidRDefault="00010983">
      <w:pPr>
        <w:spacing w:line="259" w:lineRule="auto"/>
        <w:jc w:val="left"/>
      </w:pPr>
      <w:r>
        <w:br w:type="page"/>
      </w:r>
    </w:p>
    <w:p w14:paraId="2E5D3DA9" w14:textId="2EFD14A8" w:rsidR="00782D41" w:rsidRDefault="00A71403" w:rsidP="00FE2465">
      <w:pPr>
        <w:pStyle w:val="Heading1"/>
        <w:tabs>
          <w:tab w:val="left" w:pos="180"/>
          <w:tab w:val="left" w:pos="270"/>
          <w:tab w:val="left" w:pos="630"/>
        </w:tabs>
      </w:pPr>
      <w:r>
        <w:lastRenderedPageBreak/>
        <w:t>References</w:t>
      </w:r>
    </w:p>
    <w:p w14:paraId="038FC654" w14:textId="77777777" w:rsidR="00895548" w:rsidRPr="00895548" w:rsidRDefault="008077BA" w:rsidP="00895548">
      <w:pPr>
        <w:pStyle w:val="EndNoteBibliography"/>
        <w:spacing w:after="0"/>
        <w:ind w:left="720" w:hanging="720"/>
      </w:pPr>
      <w:r>
        <w:fldChar w:fldCharType="begin"/>
      </w:r>
      <w:r>
        <w:instrText xml:space="preserve"> ADDIN EN.REFLIST </w:instrText>
      </w:r>
      <w:r>
        <w:fldChar w:fldCharType="separate"/>
      </w:r>
      <w:r w:rsidR="00895548" w:rsidRPr="00895548">
        <w:t xml:space="preserve">Abdelkarim, N., &amp; Burbar, M. (2007). How banks in Palestine manage financial risk. </w:t>
      </w:r>
      <w:r w:rsidR="00895548" w:rsidRPr="00895548">
        <w:rPr>
          <w:i/>
        </w:rPr>
        <w:t>Jordan: Al-Zaytoonah University</w:t>
      </w:r>
      <w:r w:rsidR="00895548" w:rsidRPr="00895548">
        <w:t xml:space="preserve">. </w:t>
      </w:r>
    </w:p>
    <w:p w14:paraId="03DA9754" w14:textId="77777777" w:rsidR="00895548" w:rsidRPr="00895548" w:rsidRDefault="00895548" w:rsidP="00895548">
      <w:pPr>
        <w:pStyle w:val="EndNoteBibliography"/>
        <w:spacing w:after="0"/>
        <w:ind w:left="720" w:hanging="720"/>
      </w:pPr>
      <w:r w:rsidRPr="00895548">
        <w:t xml:space="preserve">Ahmad, A. U. F., &amp; Hassan, M. K. (2007). Regulation and performance of Islamic banking in Bangladesh. </w:t>
      </w:r>
      <w:r w:rsidRPr="00895548">
        <w:rPr>
          <w:i/>
        </w:rPr>
        <w:t>Thunderbird International Business Review, 49</w:t>
      </w:r>
      <w:r w:rsidRPr="00895548">
        <w:t xml:space="preserve">(2), 251-277. </w:t>
      </w:r>
    </w:p>
    <w:p w14:paraId="4778FD3E" w14:textId="77777777" w:rsidR="00895548" w:rsidRPr="00895548" w:rsidRDefault="00895548" w:rsidP="00895548">
      <w:pPr>
        <w:pStyle w:val="EndNoteBibliography"/>
        <w:spacing w:after="0"/>
        <w:ind w:left="720" w:hanging="720"/>
      </w:pPr>
      <w:r w:rsidRPr="00895548">
        <w:t xml:space="preserve">Akhtar, M. F., Ali, K., &amp; Sadaqat, S. (2011). Factors influencing the profitability of Islamic banks of Pakistan. </w:t>
      </w:r>
      <w:r w:rsidRPr="00895548">
        <w:rPr>
          <w:i/>
        </w:rPr>
        <w:t>International Research Journal of Finance and Economics, 66</w:t>
      </w:r>
      <w:r w:rsidRPr="00895548">
        <w:t xml:space="preserve">(66), 1-8. </w:t>
      </w:r>
    </w:p>
    <w:p w14:paraId="1607CD70" w14:textId="77777777" w:rsidR="00895548" w:rsidRPr="00895548" w:rsidRDefault="00895548" w:rsidP="00895548">
      <w:pPr>
        <w:pStyle w:val="EndNoteBibliography"/>
        <w:spacing w:after="0"/>
        <w:ind w:left="720" w:hanging="720"/>
      </w:pPr>
      <w:r w:rsidRPr="00895548">
        <w:t xml:space="preserve">Akinwumi, I. A., Essien, J., &amp; Adegboyega, R. (2017). Liquidity management and banks performance in Nigeria. </w:t>
      </w:r>
      <w:r w:rsidRPr="00895548">
        <w:rPr>
          <w:i/>
        </w:rPr>
        <w:t>Business Management Economics, 5</w:t>
      </w:r>
      <w:r w:rsidRPr="00895548">
        <w:t xml:space="preserve">(6), 88-98. </w:t>
      </w:r>
    </w:p>
    <w:p w14:paraId="2018495B" w14:textId="77777777" w:rsidR="00895548" w:rsidRPr="00895548" w:rsidRDefault="00895548" w:rsidP="00895548">
      <w:pPr>
        <w:pStyle w:val="EndNoteBibliography"/>
        <w:spacing w:after="0"/>
        <w:ind w:left="720" w:hanging="720"/>
      </w:pPr>
      <w:r w:rsidRPr="00895548">
        <w:t xml:space="preserve">Almumani, M. A. (2013). Impact of managerial factors on commercial bank profitability: Empirical evidence from Jordan. </w:t>
      </w:r>
      <w:r w:rsidRPr="00895548">
        <w:rPr>
          <w:i/>
        </w:rPr>
        <w:t>International Journal of Academic Research in Accounting, Finance and Management Sciences, 3</w:t>
      </w:r>
      <w:r w:rsidRPr="00895548">
        <w:t xml:space="preserve">(3), 298-310. </w:t>
      </w:r>
    </w:p>
    <w:p w14:paraId="747B47CB" w14:textId="77777777" w:rsidR="00895548" w:rsidRPr="00895548" w:rsidRDefault="00895548" w:rsidP="00895548">
      <w:pPr>
        <w:pStyle w:val="EndNoteBibliography"/>
        <w:spacing w:after="0"/>
        <w:ind w:left="720" w:hanging="720"/>
      </w:pPr>
      <w:r w:rsidRPr="00895548">
        <w:t xml:space="preserve">Alzoubi, T. (2017). Determinants of liquidity risk in Islamic banks. </w:t>
      </w:r>
      <w:r w:rsidRPr="00895548">
        <w:rPr>
          <w:i/>
        </w:rPr>
        <w:t>Banks and Bank Systems</w:t>
      </w:r>
      <w:r w:rsidRPr="00895548">
        <w:t xml:space="preserve">(12,№ 3), 142-148. </w:t>
      </w:r>
    </w:p>
    <w:p w14:paraId="12879D23" w14:textId="77777777" w:rsidR="00895548" w:rsidRPr="00895548" w:rsidRDefault="00895548" w:rsidP="00895548">
      <w:pPr>
        <w:pStyle w:val="EndNoteBibliography"/>
        <w:spacing w:after="0"/>
        <w:ind w:left="720" w:hanging="720"/>
      </w:pPr>
      <w:r w:rsidRPr="00895548">
        <w:t xml:space="preserve">Brown, K., Hassan, M. K., &amp; Skully, M. (2007). Operational efficiency and performance of Islamic banks. </w:t>
      </w:r>
      <w:r w:rsidRPr="00895548">
        <w:rPr>
          <w:i/>
        </w:rPr>
        <w:t>Handbook of Islamic banking, 96</w:t>
      </w:r>
      <w:r w:rsidRPr="00895548">
        <w:t xml:space="preserve">. </w:t>
      </w:r>
    </w:p>
    <w:p w14:paraId="676729CD" w14:textId="77777777" w:rsidR="00895548" w:rsidRPr="00895548" w:rsidRDefault="00895548" w:rsidP="00895548">
      <w:pPr>
        <w:pStyle w:val="EndNoteBibliography"/>
        <w:spacing w:after="0"/>
        <w:ind w:left="720" w:hanging="720"/>
      </w:pPr>
      <w:r w:rsidRPr="00895548">
        <w:t xml:space="preserve">Chen, Y.-K., Shen, C.-H., Kao, L., &amp; Yeh, C.-Y. (2018). Bank liquidity risk and performance. </w:t>
      </w:r>
      <w:r w:rsidRPr="00895548">
        <w:rPr>
          <w:i/>
        </w:rPr>
        <w:t>Review of Pacific Basin Financial Markets and Policies, 21</w:t>
      </w:r>
      <w:r w:rsidRPr="00895548">
        <w:t xml:space="preserve">(01), 1850007. </w:t>
      </w:r>
    </w:p>
    <w:p w14:paraId="65B45D67" w14:textId="77777777" w:rsidR="00895548" w:rsidRPr="00895548" w:rsidRDefault="00895548" w:rsidP="00895548">
      <w:pPr>
        <w:pStyle w:val="EndNoteBibliography"/>
        <w:spacing w:after="0"/>
        <w:ind w:left="720" w:hanging="720"/>
      </w:pPr>
      <w:r w:rsidRPr="00895548">
        <w:t xml:space="preserve">Chukwunulu, J. I., Ezeabasili, V. N., &amp; Igbodika, M. N. (2019). Risk Management and the performance of commercial banks in Nigeria (1994-2016). </w:t>
      </w:r>
      <w:r w:rsidRPr="00895548">
        <w:rPr>
          <w:i/>
        </w:rPr>
        <w:t>International Journal of Banking Finance Research, 5</w:t>
      </w:r>
      <w:r w:rsidRPr="00895548">
        <w:t xml:space="preserve">(1), 64-71. </w:t>
      </w:r>
    </w:p>
    <w:p w14:paraId="72CC0422" w14:textId="77777777" w:rsidR="00895548" w:rsidRPr="00895548" w:rsidRDefault="00895548" w:rsidP="00895548">
      <w:pPr>
        <w:pStyle w:val="EndNoteBibliography"/>
        <w:spacing w:after="0"/>
        <w:ind w:left="720" w:hanging="720"/>
      </w:pPr>
      <w:r w:rsidRPr="00895548">
        <w:t xml:space="preserve">Cumming, C., &amp; Hirtle, B. (2001). The challenges of risk management in diversified financial companies. </w:t>
      </w:r>
      <w:r w:rsidRPr="00895548">
        <w:rPr>
          <w:i/>
        </w:rPr>
        <w:t>Economic Policy Review, 7</w:t>
      </w:r>
      <w:r w:rsidRPr="00895548">
        <w:t xml:space="preserve">(1). </w:t>
      </w:r>
    </w:p>
    <w:p w14:paraId="5AEF91C8" w14:textId="77777777" w:rsidR="00895548" w:rsidRPr="00895548" w:rsidRDefault="00895548" w:rsidP="00895548">
      <w:pPr>
        <w:pStyle w:val="EndNoteBibliography"/>
        <w:spacing w:after="0"/>
        <w:ind w:left="720" w:hanging="720"/>
      </w:pPr>
      <w:r w:rsidRPr="00895548">
        <w:t xml:space="preserve">Dinger, V. (2009). Do foreign-owned banks affect banking system liquidity risk? </w:t>
      </w:r>
      <w:r w:rsidRPr="00895548">
        <w:rPr>
          <w:i/>
        </w:rPr>
        <w:t>Journal of Comparative Economics, 37</w:t>
      </w:r>
      <w:r w:rsidRPr="00895548">
        <w:t xml:space="preserve">(4), 647-657. </w:t>
      </w:r>
    </w:p>
    <w:p w14:paraId="4D9E6BA7" w14:textId="77777777" w:rsidR="00895548" w:rsidRPr="00895548" w:rsidRDefault="00895548" w:rsidP="00895548">
      <w:pPr>
        <w:pStyle w:val="EndNoteBibliography"/>
        <w:spacing w:after="0"/>
        <w:ind w:left="720" w:hanging="720"/>
      </w:pPr>
      <w:r w:rsidRPr="00895548">
        <w:t xml:space="preserve">Dodds, J. C. (1982). The term structure of interest rates: a survey of the theories and empirical evidence. </w:t>
      </w:r>
      <w:r w:rsidRPr="00895548">
        <w:rPr>
          <w:i/>
        </w:rPr>
        <w:t>Managerial Finance</w:t>
      </w:r>
      <w:r w:rsidRPr="00895548">
        <w:t xml:space="preserve">. </w:t>
      </w:r>
    </w:p>
    <w:p w14:paraId="50DA430A" w14:textId="77777777" w:rsidR="00895548" w:rsidRPr="00895548" w:rsidRDefault="00895548" w:rsidP="00895548">
      <w:pPr>
        <w:pStyle w:val="EndNoteBibliography"/>
        <w:spacing w:after="0"/>
        <w:ind w:left="720" w:hanging="720"/>
      </w:pPr>
      <w:r w:rsidRPr="00895548">
        <w:t xml:space="preserve">Gabbi, G. (2004). Measuring liquidity risk in a banking management framework. </w:t>
      </w:r>
      <w:r w:rsidRPr="00895548">
        <w:rPr>
          <w:i/>
        </w:rPr>
        <w:t>Managerial Finance</w:t>
      </w:r>
      <w:r w:rsidRPr="00895548">
        <w:t xml:space="preserve">. </w:t>
      </w:r>
    </w:p>
    <w:p w14:paraId="20157339" w14:textId="77777777" w:rsidR="00895548" w:rsidRPr="00895548" w:rsidRDefault="00895548" w:rsidP="00895548">
      <w:pPr>
        <w:pStyle w:val="EndNoteBibliography"/>
        <w:spacing w:after="0"/>
        <w:ind w:left="720" w:hanging="720"/>
      </w:pPr>
      <w:r w:rsidRPr="00895548">
        <w:t xml:space="preserve">Gafrej, O., &amp; Abbes, M. B. (2017). Liquidity Determinants of Islamic and Conventional Banks. </w:t>
      </w:r>
      <w:r w:rsidRPr="00895548">
        <w:rPr>
          <w:i/>
        </w:rPr>
        <w:t>Journal of Islamic Banking and Finance 34</w:t>
      </w:r>
      <w:r w:rsidRPr="00895548">
        <w:t xml:space="preserve">(2), 44. </w:t>
      </w:r>
    </w:p>
    <w:p w14:paraId="202D0887" w14:textId="77777777" w:rsidR="00895548" w:rsidRPr="00895548" w:rsidRDefault="00895548" w:rsidP="00895548">
      <w:pPr>
        <w:pStyle w:val="EndNoteBibliography"/>
        <w:spacing w:after="0"/>
        <w:ind w:left="720" w:hanging="720"/>
      </w:pPr>
      <w:r w:rsidRPr="00895548">
        <w:t xml:space="preserve">Ika, S. R., &amp; Abdullah, N. (2011). A comparative study of financial performance of Islamic banks and conventional banks in Indonesia. </w:t>
      </w:r>
      <w:r w:rsidRPr="00895548">
        <w:rPr>
          <w:i/>
        </w:rPr>
        <w:t>International Journal of Business and Social Science, 2</w:t>
      </w:r>
      <w:r w:rsidRPr="00895548">
        <w:t xml:space="preserve">(15). </w:t>
      </w:r>
    </w:p>
    <w:p w14:paraId="56C21A8D" w14:textId="77777777" w:rsidR="00895548" w:rsidRPr="00895548" w:rsidRDefault="00895548" w:rsidP="00895548">
      <w:pPr>
        <w:pStyle w:val="EndNoteBibliography"/>
        <w:spacing w:after="0"/>
        <w:ind w:left="720" w:hanging="720"/>
      </w:pPr>
      <w:r w:rsidRPr="00895548">
        <w:t xml:space="preserve">İncekara, A., &amp; Çetinkaya, H. (2019). Liquidity Risk Management: A Comparative Analysis of Panel Data Between Islamic and Conventional Banking in Turkey. </w:t>
      </w:r>
      <w:r w:rsidRPr="00895548">
        <w:rPr>
          <w:i/>
        </w:rPr>
        <w:t>Procedia Computer Science, 158</w:t>
      </w:r>
      <w:r w:rsidRPr="00895548">
        <w:t xml:space="preserve">, 955-963. </w:t>
      </w:r>
    </w:p>
    <w:p w14:paraId="75057788" w14:textId="77777777" w:rsidR="00895548" w:rsidRPr="00895548" w:rsidRDefault="00895548" w:rsidP="00895548">
      <w:pPr>
        <w:pStyle w:val="EndNoteBibliography"/>
        <w:spacing w:after="0"/>
        <w:ind w:left="720" w:hanging="720"/>
      </w:pPr>
      <w:r w:rsidRPr="00895548">
        <w:t xml:space="preserve">Iqbal, A. (2012). Liquidity risk management: a comparative study between conventional and Islamic banks of Pakistan. </w:t>
      </w:r>
      <w:r w:rsidRPr="00895548">
        <w:rPr>
          <w:i/>
        </w:rPr>
        <w:t>Global journal of management and business research, 12</w:t>
      </w:r>
      <w:r w:rsidRPr="00895548">
        <w:t xml:space="preserve">(5). </w:t>
      </w:r>
    </w:p>
    <w:p w14:paraId="2D364678" w14:textId="77777777" w:rsidR="00895548" w:rsidRPr="00895548" w:rsidRDefault="00895548" w:rsidP="00895548">
      <w:pPr>
        <w:pStyle w:val="EndNoteBibliography"/>
        <w:spacing w:after="0"/>
        <w:ind w:left="720" w:hanging="720"/>
      </w:pPr>
      <w:r w:rsidRPr="00895548">
        <w:t xml:space="preserve">Islam, A., Farooq, M., &amp; Ahmad, A. (2016). FACTORS AFFECTING LIQUIDITY POSITION OF ISLAMIC BANKS. </w:t>
      </w:r>
      <w:r w:rsidRPr="00895548">
        <w:rPr>
          <w:i/>
        </w:rPr>
        <w:t>City University Research Journal</w:t>
      </w:r>
      <w:r w:rsidRPr="00895548">
        <w:t xml:space="preserve">, 27-36. </w:t>
      </w:r>
    </w:p>
    <w:p w14:paraId="534575FD" w14:textId="77777777" w:rsidR="00895548" w:rsidRPr="00895548" w:rsidRDefault="00895548" w:rsidP="00895548">
      <w:pPr>
        <w:pStyle w:val="EndNoteBibliography"/>
        <w:spacing w:after="0"/>
        <w:ind w:left="720" w:hanging="720"/>
      </w:pPr>
      <w:r w:rsidRPr="00895548">
        <w:t xml:space="preserve">Ismal, R. (2010). Assessment of liquidity management in Islamic banking industry. </w:t>
      </w:r>
      <w:r w:rsidRPr="00895548">
        <w:rPr>
          <w:i/>
        </w:rPr>
        <w:t>International Journal of Islamic and Middle Eastern Finance and Management</w:t>
      </w:r>
      <w:r w:rsidRPr="00895548">
        <w:t xml:space="preserve">. </w:t>
      </w:r>
    </w:p>
    <w:p w14:paraId="10FF82F5" w14:textId="77777777" w:rsidR="00895548" w:rsidRPr="00895548" w:rsidRDefault="00895548" w:rsidP="00895548">
      <w:pPr>
        <w:pStyle w:val="EndNoteBibliography"/>
        <w:spacing w:after="0"/>
        <w:ind w:left="720" w:hanging="720"/>
      </w:pPr>
      <w:r w:rsidRPr="00895548">
        <w:t xml:space="preserve">Isshaq, Z. Bokpin. Godfred A., Onumah, Joseph Mensah,(2009)“Corporate governance, ownership structure, cash holdings, and firm value on the Ghana Stock Exchange”. </w:t>
      </w:r>
      <w:r w:rsidRPr="00895548">
        <w:rPr>
          <w:i/>
        </w:rPr>
        <w:t>The Journal of Risk Finance, 10</w:t>
      </w:r>
      <w:r w:rsidRPr="00895548">
        <w:t xml:space="preserve">(5), 488-499. </w:t>
      </w:r>
    </w:p>
    <w:p w14:paraId="165F5FD5" w14:textId="77777777" w:rsidR="00895548" w:rsidRPr="00895548" w:rsidRDefault="00895548" w:rsidP="00895548">
      <w:pPr>
        <w:pStyle w:val="EndNoteBibliography"/>
        <w:spacing w:after="0"/>
        <w:ind w:left="720" w:hanging="720"/>
      </w:pPr>
      <w:r w:rsidRPr="00895548">
        <w:lastRenderedPageBreak/>
        <w:t xml:space="preserve">Isshaq, Z., &amp; Bokpin, G. A. (2009). Corporate liquidity management of listed firms in Ghana. </w:t>
      </w:r>
      <w:r w:rsidRPr="00895548">
        <w:rPr>
          <w:i/>
        </w:rPr>
        <w:t>Asia-Pacific Journal of Business Administration</w:t>
      </w:r>
      <w:r w:rsidRPr="00895548">
        <w:t xml:space="preserve">. </w:t>
      </w:r>
    </w:p>
    <w:p w14:paraId="75E6F433" w14:textId="77777777" w:rsidR="00895548" w:rsidRPr="00895548" w:rsidRDefault="00895548" w:rsidP="00895548">
      <w:pPr>
        <w:pStyle w:val="EndNoteBibliography"/>
        <w:spacing w:after="0"/>
        <w:ind w:left="720" w:hanging="720"/>
      </w:pPr>
      <w:r w:rsidRPr="00895548">
        <w:t xml:space="preserve">Jedidia, K. B., &amp; Hamza, H. (2015). Determinants of liquidity risk in Islamic banks: A panel study. </w:t>
      </w:r>
      <w:r w:rsidRPr="00895548">
        <w:rPr>
          <w:i/>
        </w:rPr>
        <w:t>Islamic Management and Business Management Economics, 2</w:t>
      </w:r>
      <w:r w:rsidRPr="00895548">
        <w:t xml:space="preserve">(2), 137-146. </w:t>
      </w:r>
    </w:p>
    <w:p w14:paraId="4F0F0C8C" w14:textId="77777777" w:rsidR="00895548" w:rsidRPr="00895548" w:rsidRDefault="00895548" w:rsidP="00895548">
      <w:pPr>
        <w:pStyle w:val="EndNoteBibliography"/>
        <w:spacing w:after="0"/>
        <w:ind w:left="720" w:hanging="720"/>
      </w:pPr>
      <w:r w:rsidRPr="00895548">
        <w:t xml:space="preserve">Keynes, J. M. (1937). The general theory of employment. </w:t>
      </w:r>
      <w:r w:rsidRPr="00895548">
        <w:rPr>
          <w:i/>
        </w:rPr>
        <w:t>The quarterly journal of economics, 51</w:t>
      </w:r>
      <w:r w:rsidRPr="00895548">
        <w:t xml:space="preserve">(2), 209-223. </w:t>
      </w:r>
    </w:p>
    <w:p w14:paraId="214DB568" w14:textId="77777777" w:rsidR="00895548" w:rsidRPr="00895548" w:rsidRDefault="00895548" w:rsidP="00895548">
      <w:pPr>
        <w:pStyle w:val="EndNoteBibliography"/>
        <w:spacing w:after="0"/>
        <w:ind w:left="720" w:hanging="720"/>
      </w:pPr>
      <w:r w:rsidRPr="00895548">
        <w:t xml:space="preserve">Khan, M. M., Bhatti, M. I., Rosly, S. A., &amp; Zaini, M. A. M. (2008). Risk‐return analysis of Islamic banks' investment deposits and shareholders' fund. </w:t>
      </w:r>
      <w:r w:rsidRPr="00895548">
        <w:rPr>
          <w:i/>
        </w:rPr>
        <w:t>Managerial Finance</w:t>
      </w:r>
      <w:r w:rsidRPr="00895548">
        <w:t xml:space="preserve">. </w:t>
      </w:r>
    </w:p>
    <w:p w14:paraId="4530AD22" w14:textId="77777777" w:rsidR="00895548" w:rsidRPr="00895548" w:rsidRDefault="00895548" w:rsidP="00895548">
      <w:pPr>
        <w:pStyle w:val="EndNoteBibliography"/>
        <w:spacing w:after="0"/>
        <w:ind w:left="720" w:hanging="720"/>
      </w:pPr>
      <w:r w:rsidRPr="00895548">
        <w:t xml:space="preserve">Kumar, M., &amp; Yadav, G. C. (2013). Liquidity risk management in bank: a conceptual framework. </w:t>
      </w:r>
      <w:r w:rsidRPr="00895548">
        <w:rPr>
          <w:i/>
        </w:rPr>
        <w:t>AIMA journal of management research, 7</w:t>
      </w:r>
      <w:r w:rsidRPr="00895548">
        <w:t xml:space="preserve">(2), 2-12. </w:t>
      </w:r>
    </w:p>
    <w:p w14:paraId="1441E08F" w14:textId="77777777" w:rsidR="00895548" w:rsidRPr="00895548" w:rsidRDefault="00895548" w:rsidP="00895548">
      <w:pPr>
        <w:pStyle w:val="EndNoteBibliography"/>
        <w:spacing w:after="0"/>
        <w:ind w:left="720" w:hanging="720"/>
      </w:pPr>
      <w:r w:rsidRPr="00895548">
        <w:t xml:space="preserve">LeJeune, A. T. (2010). Risks Facing Financial Institutions: Liquidity, Foreign Exchange, and Sovereign Risks. </w:t>
      </w:r>
      <w:r w:rsidRPr="00895548">
        <w:rPr>
          <w:i/>
        </w:rPr>
        <w:t>International Journal of the Academic Business World, 4</w:t>
      </w:r>
      <w:r w:rsidRPr="00895548">
        <w:t xml:space="preserve">(2). </w:t>
      </w:r>
    </w:p>
    <w:p w14:paraId="327EF8E4" w14:textId="77777777" w:rsidR="00895548" w:rsidRPr="00895548" w:rsidRDefault="00895548" w:rsidP="00895548">
      <w:pPr>
        <w:pStyle w:val="EndNoteBibliography"/>
        <w:spacing w:after="0"/>
        <w:ind w:left="720" w:hanging="720"/>
      </w:pPr>
      <w:r w:rsidRPr="00895548">
        <w:t xml:space="preserve">Maness, T. S., &amp; Zietlow, J. T. (1993). </w:t>
      </w:r>
      <w:r w:rsidRPr="00895548">
        <w:rPr>
          <w:i/>
        </w:rPr>
        <w:t>Short-term financial management: text, cases, and readings</w:t>
      </w:r>
      <w:r w:rsidRPr="00895548">
        <w:t>: West Group.</w:t>
      </w:r>
    </w:p>
    <w:p w14:paraId="478ADC28" w14:textId="77777777" w:rsidR="00895548" w:rsidRPr="00895548" w:rsidRDefault="00895548" w:rsidP="00895548">
      <w:pPr>
        <w:pStyle w:val="EndNoteBibliography"/>
        <w:ind w:left="720" w:hanging="720"/>
        <w:rPr>
          <w:i/>
        </w:rPr>
      </w:pPr>
      <w:r w:rsidRPr="00895548">
        <w:t xml:space="preserve">Milošević-Avdalović. (2018). The impact of bank-specific factors on the liquidity of commercial banks in Serbia. </w:t>
      </w:r>
      <w:r w:rsidRPr="00895548">
        <w:rPr>
          <w:i/>
        </w:rPr>
        <w:t>Ekonomika preduzeća</w:t>
      </w:r>
    </w:p>
    <w:p w14:paraId="139B497C" w14:textId="77777777" w:rsidR="00895548" w:rsidRPr="00895548" w:rsidRDefault="00895548" w:rsidP="00895548">
      <w:pPr>
        <w:pStyle w:val="EndNoteBibliography"/>
        <w:spacing w:after="0"/>
        <w:ind w:left="720" w:hanging="720"/>
      </w:pPr>
      <w:r w:rsidRPr="00895548">
        <w:rPr>
          <w:i/>
        </w:rPr>
        <w:t>66</w:t>
      </w:r>
      <w:r w:rsidRPr="00895548">
        <w:t xml:space="preserve">(3-4), 257-265. </w:t>
      </w:r>
    </w:p>
    <w:p w14:paraId="1DB42030" w14:textId="77777777" w:rsidR="00895548" w:rsidRPr="00895548" w:rsidRDefault="00895548" w:rsidP="00895548">
      <w:pPr>
        <w:pStyle w:val="EndNoteBibliography"/>
        <w:spacing w:after="0"/>
        <w:ind w:left="720" w:hanging="720"/>
      </w:pPr>
      <w:r w:rsidRPr="00895548">
        <w:t xml:space="preserve">Milošević-Avdalović, S. (2018). The impact of bank-specific factors on the liquidity of commercial banks in Serbia. </w:t>
      </w:r>
      <w:r w:rsidRPr="00895548">
        <w:rPr>
          <w:i/>
        </w:rPr>
        <w:t>Ekonomika preduzeća, 66</w:t>
      </w:r>
      <w:r w:rsidRPr="00895548">
        <w:t xml:space="preserve">(3-4), 257-265. </w:t>
      </w:r>
    </w:p>
    <w:p w14:paraId="4A95C306" w14:textId="77777777" w:rsidR="00895548" w:rsidRPr="00895548" w:rsidRDefault="00895548" w:rsidP="00895548">
      <w:pPr>
        <w:pStyle w:val="EndNoteBibliography"/>
        <w:spacing w:after="0"/>
        <w:ind w:left="720" w:hanging="720"/>
      </w:pPr>
      <w:r w:rsidRPr="00895548">
        <w:t xml:space="preserve">Milošević-Avdalović, S., &amp; Kalaš, B. (2016). Determinants of deposit potential as inverse liquidity indicator of commercial banks in Serbia. </w:t>
      </w:r>
      <w:r w:rsidRPr="00895548">
        <w:rPr>
          <w:i/>
        </w:rPr>
        <w:t>Industrija, 44</w:t>
      </w:r>
      <w:r w:rsidRPr="00895548">
        <w:t xml:space="preserve">(3), 61-76. </w:t>
      </w:r>
    </w:p>
    <w:p w14:paraId="58E52E04" w14:textId="77777777" w:rsidR="00895548" w:rsidRPr="00895548" w:rsidRDefault="00895548" w:rsidP="00895548">
      <w:pPr>
        <w:pStyle w:val="EndNoteBibliography"/>
        <w:spacing w:after="0"/>
        <w:ind w:left="720" w:hanging="720"/>
      </w:pPr>
      <w:r w:rsidRPr="00895548">
        <w:t xml:space="preserve">Mohamad, A. A. S., Mohamad, M. T., &amp; Samsudin, M. L. (2013). How Islamic banks of Malaysia managing liquidity? An emphasis on confronting economic cycles. </w:t>
      </w:r>
      <w:r w:rsidRPr="00895548">
        <w:rPr>
          <w:i/>
        </w:rPr>
        <w:t>International Journal of Business and Social Science, 4</w:t>
      </w:r>
      <w:r w:rsidRPr="00895548">
        <w:t xml:space="preserve">(7). </w:t>
      </w:r>
    </w:p>
    <w:p w14:paraId="3F2A9176" w14:textId="77777777" w:rsidR="00895548" w:rsidRPr="00895548" w:rsidRDefault="00895548" w:rsidP="00895548">
      <w:pPr>
        <w:pStyle w:val="EndNoteBibliography"/>
        <w:spacing w:after="0"/>
        <w:ind w:left="720" w:hanging="720"/>
      </w:pPr>
      <w:r w:rsidRPr="00895548">
        <w:t xml:space="preserve">Nwankwo, U. (1992). </w:t>
      </w:r>
      <w:r w:rsidRPr="00895548">
        <w:rPr>
          <w:i/>
        </w:rPr>
        <w:t>Economic agenda for Nigeria</w:t>
      </w:r>
      <w:r w:rsidRPr="00895548">
        <w:t>: Centrist Productions.</w:t>
      </w:r>
    </w:p>
    <w:p w14:paraId="319D75CA" w14:textId="77777777" w:rsidR="00895548" w:rsidRPr="00895548" w:rsidRDefault="00895548" w:rsidP="00895548">
      <w:pPr>
        <w:pStyle w:val="EndNoteBibliography"/>
        <w:spacing w:after="0"/>
        <w:ind w:left="720" w:hanging="720"/>
      </w:pPr>
      <w:r w:rsidRPr="00895548">
        <w:t xml:space="preserve">Ojo, M. (2010). Risk management by the Basel Committee. </w:t>
      </w:r>
      <w:r w:rsidRPr="00895548">
        <w:rPr>
          <w:i/>
        </w:rPr>
        <w:t>Journal of Financial Regulation and Compliance</w:t>
      </w:r>
      <w:r w:rsidRPr="00895548">
        <w:t xml:space="preserve">. </w:t>
      </w:r>
    </w:p>
    <w:p w14:paraId="14F11AE1" w14:textId="77777777" w:rsidR="00895548" w:rsidRPr="00895548" w:rsidRDefault="00895548" w:rsidP="00895548">
      <w:pPr>
        <w:pStyle w:val="EndNoteBibliography"/>
        <w:spacing w:after="0"/>
        <w:ind w:left="720" w:hanging="720"/>
      </w:pPr>
      <w:r w:rsidRPr="00895548">
        <w:t xml:space="preserve">Rosly, S. A. (2005). Islamic banking: Doing things right and doing right things. </w:t>
      </w:r>
      <w:r w:rsidRPr="00895548">
        <w:rPr>
          <w:i/>
        </w:rPr>
        <w:t>Malaysian Journal of Economic Studies, 42</w:t>
      </w:r>
      <w:r w:rsidRPr="00895548">
        <w:t xml:space="preserve">(1), 31-40. </w:t>
      </w:r>
    </w:p>
    <w:p w14:paraId="35C39F1F" w14:textId="77777777" w:rsidR="00895548" w:rsidRPr="00895548" w:rsidRDefault="00895548" w:rsidP="00895548">
      <w:pPr>
        <w:pStyle w:val="EndNoteBibliography"/>
        <w:spacing w:after="0"/>
        <w:ind w:left="720" w:hanging="720"/>
      </w:pPr>
      <w:r w:rsidRPr="00895548">
        <w:t xml:space="preserve">Salem, R. A. (2013). </w:t>
      </w:r>
      <w:r w:rsidRPr="00895548">
        <w:rPr>
          <w:i/>
        </w:rPr>
        <w:t>Risk management for Islamic banks</w:t>
      </w:r>
      <w:r w:rsidRPr="00895548">
        <w:t>: Edinburgh University Press.</w:t>
      </w:r>
    </w:p>
    <w:p w14:paraId="7D57C55C" w14:textId="77777777" w:rsidR="00895548" w:rsidRPr="00895548" w:rsidRDefault="00895548" w:rsidP="00895548">
      <w:pPr>
        <w:pStyle w:val="EndNoteBibliography"/>
        <w:spacing w:after="0"/>
        <w:ind w:left="720" w:hanging="720"/>
      </w:pPr>
      <w:r w:rsidRPr="00895548">
        <w:t xml:space="preserve">Sawada, M. (2010). Liquidity risk and bank portfolio management in a financial system without deposit insurance: Empirical evidence from prewar Japan. </w:t>
      </w:r>
      <w:r w:rsidRPr="00895548">
        <w:rPr>
          <w:i/>
        </w:rPr>
        <w:t>International Review of Economics &amp; Finance, 19</w:t>
      </w:r>
      <w:r w:rsidRPr="00895548">
        <w:t xml:space="preserve">(3), 392-406. </w:t>
      </w:r>
    </w:p>
    <w:p w14:paraId="42FA1D17" w14:textId="77777777" w:rsidR="00895548" w:rsidRPr="00895548" w:rsidRDefault="00895548" w:rsidP="00895548">
      <w:pPr>
        <w:pStyle w:val="EndNoteBibliography"/>
        <w:spacing w:after="0"/>
        <w:ind w:left="720" w:hanging="720"/>
      </w:pPr>
      <w:r w:rsidRPr="00895548">
        <w:t xml:space="preserve">Shaikh, S. A. A. (2015). Panel Data Estimation of Liquidity Risk Determinants in Islamic Banks: A Case Study of Pakistan. </w:t>
      </w:r>
      <w:r w:rsidRPr="00895548">
        <w:rPr>
          <w:i/>
        </w:rPr>
        <w:t>Journal of Islamic Banking Finance, 32</w:t>
      </w:r>
      <w:r w:rsidRPr="00895548">
        <w:t xml:space="preserve">(4). </w:t>
      </w:r>
    </w:p>
    <w:p w14:paraId="3B653899" w14:textId="77777777" w:rsidR="00895548" w:rsidRPr="00895548" w:rsidRDefault="00895548" w:rsidP="00895548">
      <w:pPr>
        <w:pStyle w:val="EndNoteBibliography"/>
        <w:spacing w:after="0"/>
        <w:ind w:left="720" w:hanging="720"/>
      </w:pPr>
      <w:r w:rsidRPr="00895548">
        <w:t xml:space="preserve">Siddiqui, A. (2008). Financial contracts, risk and performance of Islamic banking. </w:t>
      </w:r>
      <w:r w:rsidRPr="00895548">
        <w:rPr>
          <w:i/>
        </w:rPr>
        <w:t>Managerial Finance, 34</w:t>
      </w:r>
      <w:r w:rsidRPr="00895548">
        <w:t xml:space="preserve">(10), 680-694. </w:t>
      </w:r>
    </w:p>
    <w:p w14:paraId="6DB10060" w14:textId="77777777" w:rsidR="00895548" w:rsidRPr="00895548" w:rsidRDefault="00895548" w:rsidP="00895548">
      <w:pPr>
        <w:pStyle w:val="EndNoteBibliography"/>
        <w:spacing w:after="0"/>
        <w:ind w:left="720" w:hanging="720"/>
      </w:pPr>
      <w:r w:rsidRPr="00895548">
        <w:t xml:space="preserve">Sukmana, R., &amp; Suryaningtyas, S. (2016). Determinants of liquidity risk in Indonesian Islamic and conventional banks. </w:t>
      </w:r>
      <w:r w:rsidRPr="00895548">
        <w:rPr>
          <w:i/>
        </w:rPr>
        <w:t>Al-Iqtishad: Jurnal Ilmu Ekonomi Syariah, 8</w:t>
      </w:r>
      <w:r w:rsidRPr="00895548">
        <w:t xml:space="preserve">(2), 187-200. </w:t>
      </w:r>
    </w:p>
    <w:p w14:paraId="50E77103" w14:textId="77777777" w:rsidR="00895548" w:rsidRPr="00895548" w:rsidRDefault="00895548" w:rsidP="00895548">
      <w:pPr>
        <w:pStyle w:val="EndNoteBibliography"/>
        <w:spacing w:after="0"/>
        <w:ind w:left="720" w:hanging="720"/>
      </w:pPr>
      <w:r w:rsidRPr="00895548">
        <w:t xml:space="preserve">Summers, B. (1975). Loan commitments to business in United States banking history. </w:t>
      </w:r>
      <w:r w:rsidRPr="00895548">
        <w:rPr>
          <w:i/>
        </w:rPr>
        <w:t>Economic review, 61</w:t>
      </w:r>
      <w:r w:rsidRPr="00895548">
        <w:t xml:space="preserve">, 15-23. </w:t>
      </w:r>
    </w:p>
    <w:p w14:paraId="5928D1F8" w14:textId="77777777" w:rsidR="00895548" w:rsidRPr="00895548" w:rsidRDefault="00895548" w:rsidP="00895548">
      <w:pPr>
        <w:pStyle w:val="EndNoteBibliography"/>
        <w:spacing w:after="0"/>
        <w:ind w:left="720" w:hanging="720"/>
      </w:pPr>
      <w:r w:rsidRPr="00895548">
        <w:t xml:space="preserve">Tarawneh, M. (2006). A comparison of financial performance in the banking sector: Some evidence from Omani commercial banks. </w:t>
      </w:r>
      <w:r w:rsidRPr="00895548">
        <w:rPr>
          <w:i/>
        </w:rPr>
        <w:t>International Research Journal of Finance and Economics, 3</w:t>
      </w:r>
      <w:r w:rsidRPr="00895548">
        <w:t xml:space="preserve">(3), 101-112. </w:t>
      </w:r>
    </w:p>
    <w:p w14:paraId="7E1DB05A" w14:textId="77777777" w:rsidR="00895548" w:rsidRPr="00895548" w:rsidRDefault="00895548" w:rsidP="00895548">
      <w:pPr>
        <w:pStyle w:val="EndNoteBibliography"/>
        <w:ind w:left="720" w:hanging="720"/>
      </w:pPr>
      <w:r w:rsidRPr="00895548">
        <w:t xml:space="preserve">Van Greuning, H., &amp; Iqbal, Z. (2007). </w:t>
      </w:r>
      <w:r w:rsidRPr="00895548">
        <w:rPr>
          <w:i/>
        </w:rPr>
        <w:t>Risk analysis for Islamic banks</w:t>
      </w:r>
      <w:r w:rsidRPr="00895548">
        <w:t>: The world bank.</w:t>
      </w:r>
    </w:p>
    <w:p w14:paraId="2C7CE1B3" w14:textId="0E0C04B8" w:rsidR="00BB2125" w:rsidRDefault="008077BA" w:rsidP="00895548">
      <w:pPr>
        <w:tabs>
          <w:tab w:val="left" w:pos="180"/>
          <w:tab w:val="left" w:pos="270"/>
          <w:tab w:val="left" w:pos="630"/>
        </w:tabs>
      </w:pPr>
      <w:r>
        <w:lastRenderedPageBreak/>
        <w:fldChar w:fldCharType="end"/>
      </w:r>
    </w:p>
    <w:p w14:paraId="18F76FF7" w14:textId="272302F3" w:rsidR="004959B8" w:rsidRDefault="0090360D" w:rsidP="0090360D">
      <w:pPr>
        <w:pStyle w:val="Heading1"/>
        <w:tabs>
          <w:tab w:val="left" w:pos="180"/>
          <w:tab w:val="left" w:pos="270"/>
          <w:tab w:val="left" w:pos="630"/>
        </w:tabs>
      </w:pPr>
      <w:r>
        <w:t>Appendix -1</w:t>
      </w:r>
    </w:p>
    <w:p w14:paraId="0534E10C" w14:textId="77777777" w:rsidR="00191C7E" w:rsidRPr="00191C7E" w:rsidRDefault="00191C7E" w:rsidP="00191C7E"/>
    <w:tbl>
      <w:tblPr>
        <w:tblStyle w:val="TableGrid"/>
        <w:tblW w:w="0" w:type="auto"/>
        <w:tblLook w:val="04A0" w:firstRow="1" w:lastRow="0" w:firstColumn="1" w:lastColumn="0" w:noHBand="0" w:noVBand="1"/>
      </w:tblPr>
      <w:tblGrid>
        <w:gridCol w:w="4580"/>
        <w:gridCol w:w="1703"/>
        <w:gridCol w:w="1703"/>
      </w:tblGrid>
      <w:tr w:rsidR="00EF6E6D" w:rsidRPr="00EF6E6D" w14:paraId="00D397AA" w14:textId="277C85A6" w:rsidTr="00764194">
        <w:trPr>
          <w:trHeight w:val="292"/>
        </w:trPr>
        <w:tc>
          <w:tcPr>
            <w:tcW w:w="4580" w:type="dxa"/>
            <w:noWrap/>
            <w:hideMark/>
          </w:tcPr>
          <w:p w14:paraId="2B4A408B" w14:textId="77777777" w:rsidR="00EF6E6D" w:rsidRPr="00EF6E6D" w:rsidRDefault="00EF6E6D" w:rsidP="00EF6E6D">
            <w:pPr>
              <w:rPr>
                <w:b/>
                <w:bCs/>
              </w:rPr>
            </w:pPr>
            <w:r w:rsidRPr="00EF6E6D">
              <w:rPr>
                <w:b/>
                <w:bCs/>
              </w:rPr>
              <w:t>Bank</w:t>
            </w:r>
          </w:p>
        </w:tc>
        <w:tc>
          <w:tcPr>
            <w:tcW w:w="1703" w:type="dxa"/>
            <w:noWrap/>
            <w:hideMark/>
          </w:tcPr>
          <w:p w14:paraId="5A9AD469" w14:textId="77777777" w:rsidR="00EF6E6D" w:rsidRPr="00EF6E6D" w:rsidRDefault="00EF6E6D" w:rsidP="00D61E23">
            <w:pPr>
              <w:jc w:val="center"/>
              <w:rPr>
                <w:b/>
                <w:bCs/>
              </w:rPr>
            </w:pPr>
            <w:r w:rsidRPr="00EF6E6D">
              <w:rPr>
                <w:b/>
                <w:bCs/>
              </w:rPr>
              <w:t>Founded</w:t>
            </w:r>
          </w:p>
        </w:tc>
        <w:tc>
          <w:tcPr>
            <w:tcW w:w="1703" w:type="dxa"/>
          </w:tcPr>
          <w:p w14:paraId="6F1FF244" w14:textId="75E3D5FB" w:rsidR="00EF6E6D" w:rsidRPr="00EF6E6D" w:rsidRDefault="002F0B57" w:rsidP="002F0B57">
            <w:pPr>
              <w:jc w:val="center"/>
              <w:rPr>
                <w:b/>
                <w:bCs/>
              </w:rPr>
            </w:pPr>
            <w:r>
              <w:rPr>
                <w:b/>
                <w:bCs/>
              </w:rPr>
              <w:t>Type</w:t>
            </w:r>
          </w:p>
        </w:tc>
      </w:tr>
      <w:tr w:rsidR="00EF6E6D" w:rsidRPr="00EF6E6D" w14:paraId="7F1272B2" w14:textId="379E070D" w:rsidTr="00764194">
        <w:trPr>
          <w:trHeight w:val="292"/>
        </w:trPr>
        <w:tc>
          <w:tcPr>
            <w:tcW w:w="4580" w:type="dxa"/>
            <w:noWrap/>
            <w:hideMark/>
          </w:tcPr>
          <w:p w14:paraId="506E0E3A" w14:textId="77777777" w:rsidR="00EF6E6D" w:rsidRPr="00EF6E6D" w:rsidRDefault="00EF6E6D" w:rsidP="00EF6E6D">
            <w:r w:rsidRPr="00EF6E6D">
              <w:t>Arab Bank</w:t>
            </w:r>
          </w:p>
        </w:tc>
        <w:tc>
          <w:tcPr>
            <w:tcW w:w="1703" w:type="dxa"/>
            <w:noWrap/>
            <w:hideMark/>
          </w:tcPr>
          <w:p w14:paraId="2924AD20" w14:textId="77777777" w:rsidR="00EF6E6D" w:rsidRPr="00EF6E6D" w:rsidRDefault="00EF6E6D" w:rsidP="00EF6E6D">
            <w:pPr>
              <w:jc w:val="center"/>
            </w:pPr>
            <w:r w:rsidRPr="00EF6E6D">
              <w:t>1930</w:t>
            </w:r>
          </w:p>
        </w:tc>
        <w:tc>
          <w:tcPr>
            <w:tcW w:w="1703" w:type="dxa"/>
          </w:tcPr>
          <w:p w14:paraId="44814A60" w14:textId="2568E4BA" w:rsidR="00EF6E6D" w:rsidRPr="00EF6E6D" w:rsidRDefault="00EF6E6D" w:rsidP="00EF6E6D">
            <w:pPr>
              <w:jc w:val="center"/>
            </w:pPr>
            <w:r>
              <w:t>Conventional</w:t>
            </w:r>
          </w:p>
        </w:tc>
      </w:tr>
      <w:tr w:rsidR="002F0B57" w:rsidRPr="00EF6E6D" w14:paraId="0EA15BF7" w14:textId="2F0F17BF" w:rsidTr="00764194">
        <w:trPr>
          <w:trHeight w:val="292"/>
        </w:trPr>
        <w:tc>
          <w:tcPr>
            <w:tcW w:w="4580" w:type="dxa"/>
            <w:noWrap/>
            <w:hideMark/>
          </w:tcPr>
          <w:p w14:paraId="01C72136" w14:textId="77777777" w:rsidR="002F0B57" w:rsidRPr="00EF6E6D" w:rsidRDefault="002F0B57" w:rsidP="002F0B57">
            <w:r w:rsidRPr="00EF6E6D">
              <w:t>Bank of Palestine</w:t>
            </w:r>
          </w:p>
        </w:tc>
        <w:tc>
          <w:tcPr>
            <w:tcW w:w="1703" w:type="dxa"/>
            <w:noWrap/>
            <w:hideMark/>
          </w:tcPr>
          <w:p w14:paraId="4F51C28C" w14:textId="77777777" w:rsidR="002F0B57" w:rsidRPr="00EF6E6D" w:rsidRDefault="002F0B57" w:rsidP="002F0B57">
            <w:pPr>
              <w:jc w:val="center"/>
            </w:pPr>
            <w:r w:rsidRPr="00EF6E6D">
              <w:t>1960</w:t>
            </w:r>
          </w:p>
        </w:tc>
        <w:tc>
          <w:tcPr>
            <w:tcW w:w="1703" w:type="dxa"/>
          </w:tcPr>
          <w:p w14:paraId="710ED02D" w14:textId="14F8BB4F" w:rsidR="002F0B57" w:rsidRPr="00EF6E6D" w:rsidRDefault="002F0B57" w:rsidP="002F0B57">
            <w:pPr>
              <w:jc w:val="center"/>
            </w:pPr>
            <w:r>
              <w:t>Conventional</w:t>
            </w:r>
          </w:p>
        </w:tc>
      </w:tr>
      <w:tr w:rsidR="002F0B57" w:rsidRPr="00EF6E6D" w14:paraId="6C8D0D6B" w14:textId="60554DB9" w:rsidTr="00764194">
        <w:trPr>
          <w:trHeight w:val="292"/>
        </w:trPr>
        <w:tc>
          <w:tcPr>
            <w:tcW w:w="4580" w:type="dxa"/>
            <w:noWrap/>
            <w:hideMark/>
          </w:tcPr>
          <w:p w14:paraId="5F51DACF" w14:textId="77777777" w:rsidR="002F0B57" w:rsidRPr="00EF6E6D" w:rsidRDefault="002F0B57" w:rsidP="002F0B57">
            <w:r w:rsidRPr="00EF6E6D">
              <w:t>The National Bank</w:t>
            </w:r>
          </w:p>
        </w:tc>
        <w:tc>
          <w:tcPr>
            <w:tcW w:w="1703" w:type="dxa"/>
            <w:noWrap/>
            <w:hideMark/>
          </w:tcPr>
          <w:p w14:paraId="62442D5C" w14:textId="77777777" w:rsidR="002F0B57" w:rsidRPr="00EF6E6D" w:rsidRDefault="002F0B57" w:rsidP="002F0B57">
            <w:pPr>
              <w:jc w:val="center"/>
            </w:pPr>
            <w:r w:rsidRPr="00EF6E6D">
              <w:t>2006</w:t>
            </w:r>
          </w:p>
        </w:tc>
        <w:tc>
          <w:tcPr>
            <w:tcW w:w="1703" w:type="dxa"/>
          </w:tcPr>
          <w:p w14:paraId="4393AA51" w14:textId="76C4D68C" w:rsidR="002F0B57" w:rsidRPr="00EF6E6D" w:rsidRDefault="002F0B57" w:rsidP="002F0B57">
            <w:pPr>
              <w:jc w:val="center"/>
            </w:pPr>
            <w:r>
              <w:t>Conventional</w:t>
            </w:r>
          </w:p>
        </w:tc>
      </w:tr>
      <w:tr w:rsidR="002F0B57" w:rsidRPr="00EF6E6D" w14:paraId="1C821F4A" w14:textId="12F9C5C9" w:rsidTr="00764194">
        <w:trPr>
          <w:trHeight w:val="292"/>
        </w:trPr>
        <w:tc>
          <w:tcPr>
            <w:tcW w:w="4580" w:type="dxa"/>
            <w:noWrap/>
            <w:hideMark/>
          </w:tcPr>
          <w:p w14:paraId="7A48AA65" w14:textId="77777777" w:rsidR="002F0B57" w:rsidRPr="00EF6E6D" w:rsidRDefault="002F0B57" w:rsidP="002F0B57">
            <w:r w:rsidRPr="00EF6E6D">
              <w:t>Quds Bank</w:t>
            </w:r>
          </w:p>
        </w:tc>
        <w:tc>
          <w:tcPr>
            <w:tcW w:w="1703" w:type="dxa"/>
            <w:noWrap/>
            <w:hideMark/>
          </w:tcPr>
          <w:p w14:paraId="50BDCD84" w14:textId="77777777" w:rsidR="002F0B57" w:rsidRPr="00EF6E6D" w:rsidRDefault="002F0B57" w:rsidP="002F0B57">
            <w:pPr>
              <w:jc w:val="center"/>
            </w:pPr>
            <w:r w:rsidRPr="00EF6E6D">
              <w:t>1995</w:t>
            </w:r>
          </w:p>
        </w:tc>
        <w:tc>
          <w:tcPr>
            <w:tcW w:w="1703" w:type="dxa"/>
          </w:tcPr>
          <w:p w14:paraId="13257A20" w14:textId="497CF930" w:rsidR="002F0B57" w:rsidRPr="00EF6E6D" w:rsidRDefault="002F0B57" w:rsidP="002F0B57">
            <w:pPr>
              <w:jc w:val="center"/>
            </w:pPr>
            <w:r>
              <w:t>Conventional</w:t>
            </w:r>
          </w:p>
        </w:tc>
      </w:tr>
      <w:tr w:rsidR="002F0B57" w:rsidRPr="00EF6E6D" w14:paraId="68DA25BB" w14:textId="1FCAE9C1" w:rsidTr="00764194">
        <w:trPr>
          <w:trHeight w:val="292"/>
        </w:trPr>
        <w:tc>
          <w:tcPr>
            <w:tcW w:w="4580" w:type="dxa"/>
            <w:noWrap/>
            <w:hideMark/>
          </w:tcPr>
          <w:p w14:paraId="46F727A9" w14:textId="77777777" w:rsidR="002F0B57" w:rsidRPr="00EF6E6D" w:rsidRDefault="002F0B57" w:rsidP="002F0B57">
            <w:r w:rsidRPr="00EF6E6D">
              <w:t>Cairo Amman Bank</w:t>
            </w:r>
          </w:p>
        </w:tc>
        <w:tc>
          <w:tcPr>
            <w:tcW w:w="1703" w:type="dxa"/>
            <w:noWrap/>
            <w:hideMark/>
          </w:tcPr>
          <w:p w14:paraId="12B946B4" w14:textId="77777777" w:rsidR="002F0B57" w:rsidRPr="00EF6E6D" w:rsidRDefault="002F0B57" w:rsidP="002F0B57">
            <w:pPr>
              <w:jc w:val="center"/>
            </w:pPr>
            <w:r w:rsidRPr="00EF6E6D">
              <w:t>1960</w:t>
            </w:r>
          </w:p>
        </w:tc>
        <w:tc>
          <w:tcPr>
            <w:tcW w:w="1703" w:type="dxa"/>
          </w:tcPr>
          <w:p w14:paraId="46765992" w14:textId="5F52EAC0" w:rsidR="002F0B57" w:rsidRPr="00EF6E6D" w:rsidRDefault="002F0B57" w:rsidP="002F0B57">
            <w:pPr>
              <w:jc w:val="center"/>
            </w:pPr>
            <w:r>
              <w:t>Conventional</w:t>
            </w:r>
          </w:p>
        </w:tc>
      </w:tr>
      <w:tr w:rsidR="002F0B57" w:rsidRPr="00EF6E6D" w14:paraId="32A09F57" w14:textId="45570251" w:rsidTr="00764194">
        <w:trPr>
          <w:trHeight w:val="292"/>
        </w:trPr>
        <w:tc>
          <w:tcPr>
            <w:tcW w:w="4580" w:type="dxa"/>
            <w:noWrap/>
            <w:hideMark/>
          </w:tcPr>
          <w:p w14:paraId="13E65592" w14:textId="77777777" w:rsidR="002F0B57" w:rsidRPr="00EF6E6D" w:rsidRDefault="002F0B57" w:rsidP="002F0B57">
            <w:r w:rsidRPr="00EF6E6D">
              <w:t>Housing Bank for Trade &amp; Finance</w:t>
            </w:r>
          </w:p>
        </w:tc>
        <w:tc>
          <w:tcPr>
            <w:tcW w:w="1703" w:type="dxa"/>
            <w:noWrap/>
            <w:hideMark/>
          </w:tcPr>
          <w:p w14:paraId="066D8554" w14:textId="77777777" w:rsidR="002F0B57" w:rsidRPr="00EF6E6D" w:rsidRDefault="002F0B57" w:rsidP="002F0B57">
            <w:pPr>
              <w:jc w:val="center"/>
            </w:pPr>
            <w:r w:rsidRPr="00EF6E6D">
              <w:t>1973</w:t>
            </w:r>
          </w:p>
        </w:tc>
        <w:tc>
          <w:tcPr>
            <w:tcW w:w="1703" w:type="dxa"/>
          </w:tcPr>
          <w:p w14:paraId="3600B3D2" w14:textId="581B776C" w:rsidR="002F0B57" w:rsidRPr="00EF6E6D" w:rsidRDefault="002F0B57" w:rsidP="002F0B57">
            <w:pPr>
              <w:jc w:val="center"/>
            </w:pPr>
            <w:r>
              <w:t>Conventional</w:t>
            </w:r>
          </w:p>
        </w:tc>
      </w:tr>
      <w:tr w:rsidR="002F0B57" w:rsidRPr="00EF6E6D" w14:paraId="330ADE53" w14:textId="53FF4353" w:rsidTr="00764194">
        <w:trPr>
          <w:trHeight w:val="292"/>
        </w:trPr>
        <w:tc>
          <w:tcPr>
            <w:tcW w:w="4580" w:type="dxa"/>
            <w:noWrap/>
            <w:hideMark/>
          </w:tcPr>
          <w:p w14:paraId="570D8C71" w14:textId="77777777" w:rsidR="002F0B57" w:rsidRPr="00EF6E6D" w:rsidRDefault="002F0B57" w:rsidP="002F0B57">
            <w:r w:rsidRPr="00EF6E6D">
              <w:t>Bank of Jordan</w:t>
            </w:r>
          </w:p>
        </w:tc>
        <w:tc>
          <w:tcPr>
            <w:tcW w:w="1703" w:type="dxa"/>
            <w:noWrap/>
            <w:hideMark/>
          </w:tcPr>
          <w:p w14:paraId="3DD1C1F6" w14:textId="77777777" w:rsidR="002F0B57" w:rsidRPr="00EF6E6D" w:rsidRDefault="002F0B57" w:rsidP="002F0B57">
            <w:pPr>
              <w:jc w:val="center"/>
            </w:pPr>
            <w:r w:rsidRPr="00EF6E6D">
              <w:t>1960</w:t>
            </w:r>
          </w:p>
        </w:tc>
        <w:tc>
          <w:tcPr>
            <w:tcW w:w="1703" w:type="dxa"/>
          </w:tcPr>
          <w:p w14:paraId="02C69E4C" w14:textId="606EAC97" w:rsidR="002F0B57" w:rsidRPr="00EF6E6D" w:rsidRDefault="002F0B57" w:rsidP="002F0B57">
            <w:pPr>
              <w:jc w:val="center"/>
            </w:pPr>
            <w:r>
              <w:t>Conventional</w:t>
            </w:r>
          </w:p>
        </w:tc>
      </w:tr>
      <w:tr w:rsidR="002F0B57" w:rsidRPr="00EF6E6D" w14:paraId="6C1A1402" w14:textId="18B3869B" w:rsidTr="00764194">
        <w:trPr>
          <w:trHeight w:val="292"/>
        </w:trPr>
        <w:tc>
          <w:tcPr>
            <w:tcW w:w="4580" w:type="dxa"/>
            <w:noWrap/>
            <w:hideMark/>
          </w:tcPr>
          <w:p w14:paraId="42FFD578" w14:textId="77777777" w:rsidR="002F0B57" w:rsidRPr="00EF6E6D" w:rsidRDefault="002F0B57" w:rsidP="002F0B57">
            <w:r w:rsidRPr="00EF6E6D">
              <w:t>Palestine Investment Bank</w:t>
            </w:r>
          </w:p>
        </w:tc>
        <w:tc>
          <w:tcPr>
            <w:tcW w:w="1703" w:type="dxa"/>
            <w:noWrap/>
            <w:hideMark/>
          </w:tcPr>
          <w:p w14:paraId="6BAD22B9" w14:textId="77777777" w:rsidR="002F0B57" w:rsidRPr="00EF6E6D" w:rsidRDefault="002F0B57" w:rsidP="002F0B57">
            <w:pPr>
              <w:jc w:val="center"/>
            </w:pPr>
            <w:r w:rsidRPr="00EF6E6D">
              <w:t>1994</w:t>
            </w:r>
          </w:p>
        </w:tc>
        <w:tc>
          <w:tcPr>
            <w:tcW w:w="1703" w:type="dxa"/>
          </w:tcPr>
          <w:p w14:paraId="3A3F963E" w14:textId="7EF7BEF8" w:rsidR="002F0B57" w:rsidRPr="00EF6E6D" w:rsidRDefault="002F0B57" w:rsidP="002F0B57">
            <w:pPr>
              <w:jc w:val="center"/>
            </w:pPr>
            <w:r>
              <w:t>Conventional</w:t>
            </w:r>
          </w:p>
        </w:tc>
      </w:tr>
      <w:tr w:rsidR="002F0B57" w:rsidRPr="00EF6E6D" w14:paraId="46107009" w14:textId="3473A044" w:rsidTr="00764194">
        <w:trPr>
          <w:trHeight w:val="292"/>
        </w:trPr>
        <w:tc>
          <w:tcPr>
            <w:tcW w:w="4580" w:type="dxa"/>
            <w:noWrap/>
            <w:hideMark/>
          </w:tcPr>
          <w:p w14:paraId="3F7E73DB" w14:textId="77777777" w:rsidR="002F0B57" w:rsidRPr="00EF6E6D" w:rsidRDefault="002F0B57" w:rsidP="002F0B57">
            <w:r w:rsidRPr="00EF6E6D">
              <w:t>Jordan Ahli Bank</w:t>
            </w:r>
          </w:p>
        </w:tc>
        <w:tc>
          <w:tcPr>
            <w:tcW w:w="1703" w:type="dxa"/>
            <w:noWrap/>
            <w:hideMark/>
          </w:tcPr>
          <w:p w14:paraId="712F7E62" w14:textId="77777777" w:rsidR="002F0B57" w:rsidRPr="00EF6E6D" w:rsidRDefault="002F0B57" w:rsidP="002F0B57">
            <w:pPr>
              <w:jc w:val="center"/>
            </w:pPr>
            <w:r w:rsidRPr="00EF6E6D">
              <w:t>1955</w:t>
            </w:r>
          </w:p>
        </w:tc>
        <w:tc>
          <w:tcPr>
            <w:tcW w:w="1703" w:type="dxa"/>
          </w:tcPr>
          <w:p w14:paraId="52D81F14" w14:textId="35D2D682" w:rsidR="002F0B57" w:rsidRPr="00EF6E6D" w:rsidRDefault="002F0B57" w:rsidP="002F0B57">
            <w:pPr>
              <w:jc w:val="center"/>
            </w:pPr>
            <w:r>
              <w:t>Conventional</w:t>
            </w:r>
          </w:p>
        </w:tc>
      </w:tr>
      <w:tr w:rsidR="002F0B57" w:rsidRPr="00EF6E6D" w14:paraId="2FEB2CF1" w14:textId="482D1BF4" w:rsidTr="00764194">
        <w:trPr>
          <w:trHeight w:val="292"/>
        </w:trPr>
        <w:tc>
          <w:tcPr>
            <w:tcW w:w="4580" w:type="dxa"/>
            <w:noWrap/>
            <w:hideMark/>
          </w:tcPr>
          <w:p w14:paraId="7FA6DB9D" w14:textId="5254224E" w:rsidR="002F0B57" w:rsidRPr="00EF6E6D" w:rsidRDefault="002F0B57" w:rsidP="002F0B57">
            <w:r w:rsidRPr="00EF6E6D">
              <w:t>Jordan Commercial Bank</w:t>
            </w:r>
            <w:r w:rsidR="00D61E23">
              <w:t>*</w:t>
            </w:r>
          </w:p>
        </w:tc>
        <w:tc>
          <w:tcPr>
            <w:tcW w:w="1703" w:type="dxa"/>
            <w:noWrap/>
            <w:hideMark/>
          </w:tcPr>
          <w:p w14:paraId="3F4407C7" w14:textId="77777777" w:rsidR="002F0B57" w:rsidRPr="00EF6E6D" w:rsidRDefault="002F0B57" w:rsidP="002F0B57">
            <w:pPr>
              <w:jc w:val="center"/>
            </w:pPr>
            <w:r w:rsidRPr="00EF6E6D">
              <w:t>1977</w:t>
            </w:r>
          </w:p>
        </w:tc>
        <w:tc>
          <w:tcPr>
            <w:tcW w:w="1703" w:type="dxa"/>
          </w:tcPr>
          <w:p w14:paraId="059649BE" w14:textId="101568B0" w:rsidR="002F0B57" w:rsidRPr="00EF6E6D" w:rsidRDefault="002F0B57" w:rsidP="002F0B57">
            <w:pPr>
              <w:jc w:val="center"/>
            </w:pPr>
            <w:r>
              <w:t>Conventional</w:t>
            </w:r>
          </w:p>
        </w:tc>
      </w:tr>
      <w:tr w:rsidR="002F0B57" w:rsidRPr="00EF6E6D" w14:paraId="515343C3" w14:textId="7197B94A" w:rsidTr="00764194">
        <w:trPr>
          <w:trHeight w:val="292"/>
        </w:trPr>
        <w:tc>
          <w:tcPr>
            <w:tcW w:w="4580" w:type="dxa"/>
            <w:noWrap/>
            <w:hideMark/>
          </w:tcPr>
          <w:p w14:paraId="6C27F69C" w14:textId="77777777" w:rsidR="002F0B57" w:rsidRPr="00EF6E6D" w:rsidRDefault="002F0B57" w:rsidP="002F0B57">
            <w:r w:rsidRPr="00EF6E6D">
              <w:t>Egyptian Arab Land Bank</w:t>
            </w:r>
          </w:p>
        </w:tc>
        <w:tc>
          <w:tcPr>
            <w:tcW w:w="1703" w:type="dxa"/>
            <w:noWrap/>
            <w:hideMark/>
          </w:tcPr>
          <w:p w14:paraId="542CAF70" w14:textId="77777777" w:rsidR="002F0B57" w:rsidRPr="00EF6E6D" w:rsidRDefault="002F0B57" w:rsidP="002F0B57">
            <w:pPr>
              <w:jc w:val="center"/>
            </w:pPr>
            <w:r w:rsidRPr="00EF6E6D">
              <w:t>1994</w:t>
            </w:r>
          </w:p>
        </w:tc>
        <w:tc>
          <w:tcPr>
            <w:tcW w:w="1703" w:type="dxa"/>
          </w:tcPr>
          <w:p w14:paraId="64AC3FB8" w14:textId="67A4596B" w:rsidR="002F0B57" w:rsidRPr="00EF6E6D" w:rsidRDefault="002F0B57" w:rsidP="002F0B57">
            <w:pPr>
              <w:jc w:val="center"/>
            </w:pPr>
            <w:r>
              <w:t>Conventional</w:t>
            </w:r>
          </w:p>
        </w:tc>
      </w:tr>
      <w:tr w:rsidR="002F0B57" w:rsidRPr="00EF6E6D" w14:paraId="538745C4" w14:textId="3F156F27" w:rsidTr="00764194">
        <w:trPr>
          <w:trHeight w:val="292"/>
        </w:trPr>
        <w:tc>
          <w:tcPr>
            <w:tcW w:w="4580" w:type="dxa"/>
            <w:noWrap/>
            <w:hideMark/>
          </w:tcPr>
          <w:p w14:paraId="025B7526" w14:textId="77777777" w:rsidR="002F0B57" w:rsidRPr="00EF6E6D" w:rsidRDefault="002F0B57" w:rsidP="002F0B57">
            <w:r w:rsidRPr="00EF6E6D">
              <w:t>Palestine Islamic Bank</w:t>
            </w:r>
          </w:p>
        </w:tc>
        <w:tc>
          <w:tcPr>
            <w:tcW w:w="1703" w:type="dxa"/>
            <w:noWrap/>
            <w:hideMark/>
          </w:tcPr>
          <w:p w14:paraId="09A9D619" w14:textId="77777777" w:rsidR="002F0B57" w:rsidRPr="00EF6E6D" w:rsidRDefault="002F0B57" w:rsidP="002F0B57">
            <w:pPr>
              <w:jc w:val="center"/>
            </w:pPr>
            <w:r w:rsidRPr="00EF6E6D">
              <w:t>1995</w:t>
            </w:r>
          </w:p>
        </w:tc>
        <w:tc>
          <w:tcPr>
            <w:tcW w:w="1703" w:type="dxa"/>
          </w:tcPr>
          <w:p w14:paraId="345607EE" w14:textId="03BC0879" w:rsidR="002F0B57" w:rsidRPr="00EF6E6D" w:rsidRDefault="002F0B57" w:rsidP="002F0B57">
            <w:pPr>
              <w:jc w:val="center"/>
            </w:pPr>
            <w:r>
              <w:t>Islamic</w:t>
            </w:r>
          </w:p>
        </w:tc>
      </w:tr>
      <w:tr w:rsidR="002F0B57" w:rsidRPr="00EF6E6D" w14:paraId="25A1AB06" w14:textId="637B0A5A" w:rsidTr="00764194">
        <w:trPr>
          <w:trHeight w:val="292"/>
        </w:trPr>
        <w:tc>
          <w:tcPr>
            <w:tcW w:w="4580" w:type="dxa"/>
            <w:noWrap/>
            <w:hideMark/>
          </w:tcPr>
          <w:p w14:paraId="078C4205" w14:textId="77777777" w:rsidR="002F0B57" w:rsidRPr="00EF6E6D" w:rsidRDefault="002F0B57" w:rsidP="002F0B57">
            <w:r w:rsidRPr="00EF6E6D">
              <w:t>Arab Islamic Bank</w:t>
            </w:r>
          </w:p>
        </w:tc>
        <w:tc>
          <w:tcPr>
            <w:tcW w:w="1703" w:type="dxa"/>
            <w:noWrap/>
            <w:hideMark/>
          </w:tcPr>
          <w:p w14:paraId="2ACD6B7F" w14:textId="77777777" w:rsidR="002F0B57" w:rsidRPr="00EF6E6D" w:rsidRDefault="002F0B57" w:rsidP="002F0B57">
            <w:pPr>
              <w:jc w:val="center"/>
            </w:pPr>
            <w:r w:rsidRPr="00EF6E6D">
              <w:t>1995</w:t>
            </w:r>
          </w:p>
        </w:tc>
        <w:tc>
          <w:tcPr>
            <w:tcW w:w="1703" w:type="dxa"/>
          </w:tcPr>
          <w:p w14:paraId="0249172F" w14:textId="4ED12D41" w:rsidR="002F0B57" w:rsidRPr="00EF6E6D" w:rsidRDefault="002F0B57" w:rsidP="002F0B57">
            <w:pPr>
              <w:jc w:val="center"/>
            </w:pPr>
            <w:r>
              <w:t>Islamic</w:t>
            </w:r>
          </w:p>
        </w:tc>
      </w:tr>
      <w:tr w:rsidR="002F0B57" w:rsidRPr="00EF6E6D" w14:paraId="70CF8512" w14:textId="490B1C8C" w:rsidTr="00764194">
        <w:trPr>
          <w:trHeight w:val="292"/>
        </w:trPr>
        <w:tc>
          <w:tcPr>
            <w:tcW w:w="4580" w:type="dxa"/>
            <w:noWrap/>
            <w:hideMark/>
          </w:tcPr>
          <w:p w14:paraId="462ACE62" w14:textId="661188F7" w:rsidR="002F0B57" w:rsidRPr="00EF6E6D" w:rsidRDefault="002F0B57" w:rsidP="002F0B57">
            <w:r>
              <w:t>Al-</w:t>
            </w:r>
            <w:r w:rsidRPr="00EF6E6D">
              <w:t>Safa Bank</w:t>
            </w:r>
          </w:p>
        </w:tc>
        <w:tc>
          <w:tcPr>
            <w:tcW w:w="1703" w:type="dxa"/>
            <w:noWrap/>
            <w:hideMark/>
          </w:tcPr>
          <w:p w14:paraId="733C7132" w14:textId="77777777" w:rsidR="002F0B57" w:rsidRPr="00EF6E6D" w:rsidRDefault="002F0B57" w:rsidP="002F0B57">
            <w:pPr>
              <w:jc w:val="center"/>
            </w:pPr>
            <w:r w:rsidRPr="00EF6E6D">
              <w:t>2017</w:t>
            </w:r>
          </w:p>
        </w:tc>
        <w:tc>
          <w:tcPr>
            <w:tcW w:w="1703" w:type="dxa"/>
          </w:tcPr>
          <w:p w14:paraId="4A5302B9" w14:textId="125C525E" w:rsidR="002F0B57" w:rsidRPr="00EF6E6D" w:rsidRDefault="002F0B57" w:rsidP="002F0B57">
            <w:pPr>
              <w:jc w:val="center"/>
            </w:pPr>
            <w:r>
              <w:t>Islamic</w:t>
            </w:r>
          </w:p>
        </w:tc>
      </w:tr>
    </w:tbl>
    <w:p w14:paraId="16C4E23B" w14:textId="3AF231B4" w:rsidR="00EF6E6D" w:rsidRDefault="00D61E23" w:rsidP="00EF6E6D">
      <w:pPr>
        <w:rPr>
          <w:sz w:val="20"/>
          <w:szCs w:val="18"/>
        </w:rPr>
      </w:pPr>
      <w:r w:rsidRPr="00D61E23">
        <w:rPr>
          <w:sz w:val="20"/>
          <w:szCs w:val="18"/>
        </w:rPr>
        <w:t>* Jordan Commercial Bank has been acquired by the National Bank on July 2020.</w:t>
      </w:r>
    </w:p>
    <w:p w14:paraId="78699BBB" w14:textId="068850DE" w:rsidR="00CD49CE" w:rsidRDefault="00CD49CE" w:rsidP="00EF6E6D">
      <w:pPr>
        <w:rPr>
          <w:sz w:val="20"/>
          <w:szCs w:val="18"/>
        </w:rPr>
      </w:pPr>
    </w:p>
    <w:p w14:paraId="369318E9" w14:textId="442F6854" w:rsidR="00CD49CE" w:rsidRDefault="00CD49CE" w:rsidP="00EF6E6D">
      <w:pPr>
        <w:rPr>
          <w:sz w:val="20"/>
          <w:szCs w:val="18"/>
        </w:rPr>
      </w:pPr>
    </w:p>
    <w:p w14:paraId="69C23581" w14:textId="5A8B91A5" w:rsidR="00CD49CE" w:rsidRDefault="00CD49CE" w:rsidP="00EF6E6D">
      <w:pPr>
        <w:rPr>
          <w:sz w:val="20"/>
          <w:szCs w:val="18"/>
        </w:rPr>
      </w:pPr>
    </w:p>
    <w:p w14:paraId="375F437B" w14:textId="5CAC85AC" w:rsidR="00CD49CE" w:rsidRDefault="00CD49CE" w:rsidP="00EF6E6D">
      <w:pPr>
        <w:rPr>
          <w:sz w:val="20"/>
          <w:szCs w:val="18"/>
        </w:rPr>
      </w:pPr>
    </w:p>
    <w:p w14:paraId="6190F5F8" w14:textId="113906CF" w:rsidR="00CD49CE" w:rsidRDefault="00CD49CE" w:rsidP="00EF6E6D">
      <w:pPr>
        <w:rPr>
          <w:sz w:val="20"/>
          <w:szCs w:val="18"/>
        </w:rPr>
      </w:pPr>
    </w:p>
    <w:p w14:paraId="53C6F343" w14:textId="126F36CC" w:rsidR="00CD49CE" w:rsidRDefault="00CD49CE" w:rsidP="00EF6E6D">
      <w:pPr>
        <w:rPr>
          <w:sz w:val="20"/>
          <w:szCs w:val="18"/>
        </w:rPr>
      </w:pPr>
    </w:p>
    <w:p w14:paraId="4F95E156" w14:textId="43F2870B" w:rsidR="00CD49CE" w:rsidRDefault="00CD49CE" w:rsidP="00EF6E6D">
      <w:pPr>
        <w:rPr>
          <w:sz w:val="20"/>
          <w:szCs w:val="18"/>
        </w:rPr>
      </w:pPr>
    </w:p>
    <w:p w14:paraId="4A3392ED" w14:textId="37987773" w:rsidR="00CD49CE" w:rsidRDefault="00CD49CE" w:rsidP="00EF6E6D">
      <w:pPr>
        <w:rPr>
          <w:sz w:val="20"/>
          <w:szCs w:val="18"/>
        </w:rPr>
      </w:pPr>
    </w:p>
    <w:p w14:paraId="6F2B3916" w14:textId="6839F7AD" w:rsidR="00CD49CE" w:rsidRDefault="00CD49CE" w:rsidP="00EF6E6D">
      <w:pPr>
        <w:rPr>
          <w:sz w:val="20"/>
          <w:szCs w:val="18"/>
        </w:rPr>
      </w:pPr>
    </w:p>
    <w:p w14:paraId="12DF9D43" w14:textId="27A0DF05" w:rsidR="00CD49CE" w:rsidRDefault="00CD49CE" w:rsidP="00EF6E6D">
      <w:pPr>
        <w:rPr>
          <w:sz w:val="20"/>
          <w:szCs w:val="18"/>
        </w:rPr>
      </w:pPr>
    </w:p>
    <w:p w14:paraId="0A9EF879" w14:textId="44D7A3FD" w:rsidR="00CD49CE" w:rsidRDefault="00CD49CE" w:rsidP="00CD49CE">
      <w:pPr>
        <w:pStyle w:val="Heading1"/>
        <w:tabs>
          <w:tab w:val="left" w:pos="180"/>
          <w:tab w:val="left" w:pos="270"/>
          <w:tab w:val="left" w:pos="630"/>
        </w:tabs>
      </w:pPr>
      <w:r>
        <w:t>Appendix -2</w:t>
      </w:r>
    </w:p>
    <w:p w14:paraId="619887D3" w14:textId="339F8EA8" w:rsidR="00CD49CE" w:rsidRDefault="00CD49CE" w:rsidP="00EF6E6D">
      <w:pPr>
        <w:rPr>
          <w:sz w:val="20"/>
          <w:szCs w:val="18"/>
        </w:rPr>
      </w:pPr>
    </w:p>
    <w:p w14:paraId="7370AA79" w14:textId="77777777" w:rsidR="00816F7D" w:rsidRPr="00A33226" w:rsidRDefault="00816F7D" w:rsidP="00816F7D">
      <w:pPr>
        <w:pStyle w:val="ListParagraph"/>
        <w:numPr>
          <w:ilvl w:val="0"/>
          <w:numId w:val="50"/>
        </w:numPr>
        <w:rPr>
          <w:b/>
          <w:bCs/>
        </w:rPr>
      </w:pPr>
      <w:r w:rsidRPr="00A33226">
        <w:rPr>
          <w:b/>
          <w:bCs/>
        </w:rPr>
        <w:t>Conventional Banks</w:t>
      </w:r>
    </w:p>
    <w:p w14:paraId="4448D240" w14:textId="77777777" w:rsidR="00816F7D" w:rsidRPr="00816F7D" w:rsidRDefault="00816F7D" w:rsidP="00816F7D">
      <w:pPr>
        <w:rPr>
          <w:b/>
          <w:bCs/>
          <w:i/>
          <w:iCs/>
          <w:u w:val="single"/>
        </w:rPr>
      </w:pPr>
      <w:r w:rsidRPr="00816F7D">
        <w:rPr>
          <w:b/>
          <w:bCs/>
          <w:i/>
          <w:iCs/>
          <w:u w:val="single"/>
        </w:rPr>
        <w:t xml:space="preserve">Fixed effect Regression results </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700"/>
        <w:gridCol w:w="500"/>
        <w:gridCol w:w="1200"/>
        <w:gridCol w:w="50"/>
        <w:gridCol w:w="800"/>
        <w:gridCol w:w="900"/>
        <w:gridCol w:w="600"/>
        <w:gridCol w:w="600"/>
        <w:gridCol w:w="1200"/>
        <w:gridCol w:w="600"/>
      </w:tblGrid>
      <w:tr w:rsidR="00816F7D" w:rsidRPr="0018624A" w14:paraId="673BF792" w14:textId="77777777" w:rsidTr="0076766C">
        <w:trPr>
          <w:jc w:val="center"/>
        </w:trPr>
        <w:tc>
          <w:tcPr>
            <w:tcW w:w="1308" w:type="dxa"/>
            <w:vAlign w:val="center"/>
          </w:tcPr>
          <w:p w14:paraId="38B6C97A" w14:textId="77777777" w:rsidR="00816F7D" w:rsidRPr="0018624A" w:rsidRDefault="00816F7D" w:rsidP="00816F7D">
            <w:r w:rsidRPr="0018624A">
              <w:t>LR</w:t>
            </w:r>
          </w:p>
        </w:tc>
        <w:tc>
          <w:tcPr>
            <w:tcW w:w="1200" w:type="dxa"/>
            <w:gridSpan w:val="2"/>
            <w:vAlign w:val="center"/>
          </w:tcPr>
          <w:p w14:paraId="575C1A32" w14:textId="77777777" w:rsidR="00816F7D" w:rsidRPr="0018624A" w:rsidRDefault="00816F7D" w:rsidP="00816F7D">
            <w:r w:rsidRPr="0018624A">
              <w:t>Coef.</w:t>
            </w:r>
          </w:p>
        </w:tc>
        <w:tc>
          <w:tcPr>
            <w:tcW w:w="1200" w:type="dxa"/>
            <w:vAlign w:val="center"/>
          </w:tcPr>
          <w:p w14:paraId="0365D7F2" w14:textId="77777777" w:rsidR="00816F7D" w:rsidRPr="0018624A" w:rsidRDefault="00816F7D" w:rsidP="00816F7D">
            <w:r w:rsidRPr="0018624A">
              <w:t>St.Err.</w:t>
            </w:r>
          </w:p>
        </w:tc>
        <w:tc>
          <w:tcPr>
            <w:tcW w:w="850" w:type="dxa"/>
            <w:gridSpan w:val="2"/>
            <w:vAlign w:val="center"/>
          </w:tcPr>
          <w:p w14:paraId="751A01FA" w14:textId="77777777" w:rsidR="00816F7D" w:rsidRPr="0018624A" w:rsidRDefault="00816F7D" w:rsidP="00816F7D">
            <w:r w:rsidRPr="0018624A">
              <w:t>t-value</w:t>
            </w:r>
          </w:p>
        </w:tc>
        <w:tc>
          <w:tcPr>
            <w:tcW w:w="900" w:type="dxa"/>
            <w:vAlign w:val="center"/>
          </w:tcPr>
          <w:p w14:paraId="01CAD454" w14:textId="77777777" w:rsidR="00816F7D" w:rsidRPr="0018624A" w:rsidRDefault="00816F7D" w:rsidP="00816F7D">
            <w:r w:rsidRPr="0018624A">
              <w:t>p-value</w:t>
            </w:r>
          </w:p>
        </w:tc>
        <w:tc>
          <w:tcPr>
            <w:tcW w:w="1200" w:type="dxa"/>
            <w:gridSpan w:val="2"/>
            <w:vAlign w:val="center"/>
          </w:tcPr>
          <w:p w14:paraId="5D403B68" w14:textId="77777777" w:rsidR="00816F7D" w:rsidRPr="0018624A" w:rsidRDefault="00816F7D" w:rsidP="00816F7D">
            <w:r w:rsidRPr="0018624A">
              <w:t>[95% Conf</w:t>
            </w:r>
          </w:p>
        </w:tc>
        <w:tc>
          <w:tcPr>
            <w:tcW w:w="1200" w:type="dxa"/>
            <w:vAlign w:val="center"/>
          </w:tcPr>
          <w:p w14:paraId="0433FB06" w14:textId="77777777" w:rsidR="00816F7D" w:rsidRPr="0018624A" w:rsidRDefault="00816F7D" w:rsidP="00816F7D">
            <w:r w:rsidRPr="0018624A">
              <w:t>Interval]</w:t>
            </w:r>
          </w:p>
        </w:tc>
        <w:tc>
          <w:tcPr>
            <w:tcW w:w="600" w:type="dxa"/>
            <w:vAlign w:val="center"/>
          </w:tcPr>
          <w:p w14:paraId="5931D16C" w14:textId="77777777" w:rsidR="00816F7D" w:rsidRPr="0018624A" w:rsidRDefault="00816F7D" w:rsidP="00816F7D">
            <w:r w:rsidRPr="0018624A">
              <w:t>Sig</w:t>
            </w:r>
          </w:p>
        </w:tc>
      </w:tr>
      <w:tr w:rsidR="00816F7D" w:rsidRPr="0018624A" w14:paraId="2C5FF9BD" w14:textId="77777777" w:rsidTr="0076766C">
        <w:trPr>
          <w:jc w:val="center"/>
        </w:trPr>
        <w:tc>
          <w:tcPr>
            <w:tcW w:w="1308" w:type="dxa"/>
            <w:vAlign w:val="center"/>
          </w:tcPr>
          <w:p w14:paraId="029585FE" w14:textId="77777777" w:rsidR="00816F7D" w:rsidRPr="0018624A" w:rsidRDefault="00816F7D" w:rsidP="00816F7D">
            <w:r w:rsidRPr="0018624A">
              <w:t>DA</w:t>
            </w:r>
          </w:p>
        </w:tc>
        <w:tc>
          <w:tcPr>
            <w:tcW w:w="1200" w:type="dxa"/>
            <w:gridSpan w:val="2"/>
            <w:vAlign w:val="center"/>
          </w:tcPr>
          <w:p w14:paraId="3D420E9B" w14:textId="77777777" w:rsidR="00816F7D" w:rsidRPr="0018624A" w:rsidRDefault="00816F7D" w:rsidP="00816F7D">
            <w:r w:rsidRPr="0018624A">
              <w:t>-4.663</w:t>
            </w:r>
          </w:p>
        </w:tc>
        <w:tc>
          <w:tcPr>
            <w:tcW w:w="1200" w:type="dxa"/>
            <w:vAlign w:val="center"/>
          </w:tcPr>
          <w:p w14:paraId="2A372608" w14:textId="77777777" w:rsidR="00816F7D" w:rsidRPr="0018624A" w:rsidRDefault="00816F7D" w:rsidP="00816F7D">
            <w:r w:rsidRPr="0018624A">
              <w:t>4.485</w:t>
            </w:r>
          </w:p>
        </w:tc>
        <w:tc>
          <w:tcPr>
            <w:tcW w:w="850" w:type="dxa"/>
            <w:gridSpan w:val="2"/>
            <w:vAlign w:val="center"/>
          </w:tcPr>
          <w:p w14:paraId="20BAC398" w14:textId="77777777" w:rsidR="00816F7D" w:rsidRPr="0018624A" w:rsidRDefault="00816F7D" w:rsidP="00816F7D">
            <w:r w:rsidRPr="0018624A">
              <w:t>-1.04</w:t>
            </w:r>
          </w:p>
        </w:tc>
        <w:tc>
          <w:tcPr>
            <w:tcW w:w="900" w:type="dxa"/>
            <w:vAlign w:val="center"/>
          </w:tcPr>
          <w:p w14:paraId="37EE6B05" w14:textId="77777777" w:rsidR="00816F7D" w:rsidRPr="0018624A" w:rsidRDefault="00816F7D" w:rsidP="00816F7D">
            <w:r w:rsidRPr="0018624A">
              <w:t>.315</w:t>
            </w:r>
          </w:p>
        </w:tc>
        <w:tc>
          <w:tcPr>
            <w:tcW w:w="1200" w:type="dxa"/>
            <w:gridSpan w:val="2"/>
            <w:vAlign w:val="center"/>
          </w:tcPr>
          <w:p w14:paraId="508C7FA0" w14:textId="77777777" w:rsidR="00816F7D" w:rsidRPr="0018624A" w:rsidRDefault="00816F7D" w:rsidP="00816F7D">
            <w:r w:rsidRPr="0018624A">
              <w:t>-14.223</w:t>
            </w:r>
          </w:p>
        </w:tc>
        <w:tc>
          <w:tcPr>
            <w:tcW w:w="1200" w:type="dxa"/>
            <w:vAlign w:val="center"/>
          </w:tcPr>
          <w:p w14:paraId="3908EAAD" w14:textId="77777777" w:rsidR="00816F7D" w:rsidRPr="0018624A" w:rsidRDefault="00816F7D" w:rsidP="00816F7D">
            <w:r w:rsidRPr="0018624A">
              <w:t>4.897</w:t>
            </w:r>
          </w:p>
        </w:tc>
        <w:tc>
          <w:tcPr>
            <w:tcW w:w="600" w:type="dxa"/>
            <w:vAlign w:val="center"/>
          </w:tcPr>
          <w:p w14:paraId="261FC89D" w14:textId="77777777" w:rsidR="00816F7D" w:rsidRPr="0018624A" w:rsidRDefault="00816F7D" w:rsidP="00816F7D"/>
        </w:tc>
      </w:tr>
      <w:tr w:rsidR="00816F7D" w:rsidRPr="0018624A" w14:paraId="04CEC0EA" w14:textId="77777777" w:rsidTr="0076766C">
        <w:trPr>
          <w:jc w:val="center"/>
        </w:trPr>
        <w:tc>
          <w:tcPr>
            <w:tcW w:w="1308" w:type="dxa"/>
            <w:vAlign w:val="center"/>
          </w:tcPr>
          <w:p w14:paraId="78FCA52B" w14:textId="77777777" w:rsidR="00816F7D" w:rsidRPr="0018624A" w:rsidRDefault="00816F7D" w:rsidP="00816F7D">
            <w:r w:rsidRPr="0018624A">
              <w:t>CR</w:t>
            </w:r>
          </w:p>
        </w:tc>
        <w:tc>
          <w:tcPr>
            <w:tcW w:w="1200" w:type="dxa"/>
            <w:gridSpan w:val="2"/>
            <w:vAlign w:val="center"/>
          </w:tcPr>
          <w:p w14:paraId="0F5956D7" w14:textId="77777777" w:rsidR="00816F7D" w:rsidRPr="0018624A" w:rsidRDefault="00816F7D" w:rsidP="00816F7D">
            <w:r w:rsidRPr="0018624A">
              <w:t>-1.528</w:t>
            </w:r>
          </w:p>
        </w:tc>
        <w:tc>
          <w:tcPr>
            <w:tcW w:w="1200" w:type="dxa"/>
            <w:vAlign w:val="center"/>
          </w:tcPr>
          <w:p w14:paraId="71651F17" w14:textId="77777777" w:rsidR="00816F7D" w:rsidRPr="0018624A" w:rsidRDefault="00816F7D" w:rsidP="00816F7D">
            <w:r w:rsidRPr="0018624A">
              <w:t>1.671</w:t>
            </w:r>
          </w:p>
        </w:tc>
        <w:tc>
          <w:tcPr>
            <w:tcW w:w="850" w:type="dxa"/>
            <w:gridSpan w:val="2"/>
            <w:vAlign w:val="center"/>
          </w:tcPr>
          <w:p w14:paraId="4F669CE8" w14:textId="77777777" w:rsidR="00816F7D" w:rsidRPr="0018624A" w:rsidRDefault="00816F7D" w:rsidP="00816F7D">
            <w:r w:rsidRPr="0018624A">
              <w:t>-0.91</w:t>
            </w:r>
          </w:p>
        </w:tc>
        <w:tc>
          <w:tcPr>
            <w:tcW w:w="900" w:type="dxa"/>
            <w:vAlign w:val="center"/>
          </w:tcPr>
          <w:p w14:paraId="2E9E4B52" w14:textId="77777777" w:rsidR="00816F7D" w:rsidRPr="0018624A" w:rsidRDefault="00816F7D" w:rsidP="00816F7D">
            <w:r w:rsidRPr="0018624A">
              <w:t>.375</w:t>
            </w:r>
          </w:p>
        </w:tc>
        <w:tc>
          <w:tcPr>
            <w:tcW w:w="1200" w:type="dxa"/>
            <w:gridSpan w:val="2"/>
            <w:vAlign w:val="center"/>
          </w:tcPr>
          <w:p w14:paraId="09BC56DE" w14:textId="77777777" w:rsidR="00816F7D" w:rsidRPr="0018624A" w:rsidRDefault="00816F7D" w:rsidP="00816F7D">
            <w:r w:rsidRPr="0018624A">
              <w:t>-5.089</w:t>
            </w:r>
          </w:p>
        </w:tc>
        <w:tc>
          <w:tcPr>
            <w:tcW w:w="1200" w:type="dxa"/>
            <w:vAlign w:val="center"/>
          </w:tcPr>
          <w:p w14:paraId="195D4078" w14:textId="77777777" w:rsidR="00816F7D" w:rsidRPr="0018624A" w:rsidRDefault="00816F7D" w:rsidP="00816F7D">
            <w:r w:rsidRPr="0018624A">
              <w:t>2.034</w:t>
            </w:r>
          </w:p>
        </w:tc>
        <w:tc>
          <w:tcPr>
            <w:tcW w:w="600" w:type="dxa"/>
            <w:vAlign w:val="center"/>
          </w:tcPr>
          <w:p w14:paraId="297EE974" w14:textId="77777777" w:rsidR="00816F7D" w:rsidRPr="0018624A" w:rsidRDefault="00816F7D" w:rsidP="00816F7D"/>
        </w:tc>
      </w:tr>
      <w:tr w:rsidR="00816F7D" w:rsidRPr="0018624A" w14:paraId="33465BC3" w14:textId="77777777" w:rsidTr="0076766C">
        <w:trPr>
          <w:jc w:val="center"/>
        </w:trPr>
        <w:tc>
          <w:tcPr>
            <w:tcW w:w="1308" w:type="dxa"/>
            <w:vAlign w:val="center"/>
          </w:tcPr>
          <w:p w14:paraId="0ACB8636" w14:textId="77777777" w:rsidR="00816F7D" w:rsidRPr="0018624A" w:rsidRDefault="00816F7D" w:rsidP="00816F7D">
            <w:r w:rsidRPr="0018624A">
              <w:t>ROE</w:t>
            </w:r>
          </w:p>
        </w:tc>
        <w:tc>
          <w:tcPr>
            <w:tcW w:w="1200" w:type="dxa"/>
            <w:gridSpan w:val="2"/>
            <w:vAlign w:val="center"/>
          </w:tcPr>
          <w:p w14:paraId="3CE877BF" w14:textId="77777777" w:rsidR="00816F7D" w:rsidRPr="0018624A" w:rsidRDefault="00816F7D" w:rsidP="00816F7D">
            <w:r w:rsidRPr="0018624A">
              <w:t>-8.286</w:t>
            </w:r>
          </w:p>
        </w:tc>
        <w:tc>
          <w:tcPr>
            <w:tcW w:w="1200" w:type="dxa"/>
            <w:vAlign w:val="center"/>
          </w:tcPr>
          <w:p w14:paraId="3D46A1B8" w14:textId="77777777" w:rsidR="00816F7D" w:rsidRPr="0018624A" w:rsidRDefault="00816F7D" w:rsidP="00816F7D">
            <w:r w:rsidRPr="0018624A">
              <w:t>4.22</w:t>
            </w:r>
          </w:p>
        </w:tc>
        <w:tc>
          <w:tcPr>
            <w:tcW w:w="850" w:type="dxa"/>
            <w:gridSpan w:val="2"/>
            <w:vAlign w:val="center"/>
          </w:tcPr>
          <w:p w14:paraId="59B6E6AF" w14:textId="77777777" w:rsidR="00816F7D" w:rsidRPr="0018624A" w:rsidRDefault="00816F7D" w:rsidP="00816F7D">
            <w:r w:rsidRPr="0018624A">
              <w:t>-1.96</w:t>
            </w:r>
          </w:p>
        </w:tc>
        <w:tc>
          <w:tcPr>
            <w:tcW w:w="900" w:type="dxa"/>
            <w:vAlign w:val="center"/>
          </w:tcPr>
          <w:p w14:paraId="58BCB56B" w14:textId="77777777" w:rsidR="00816F7D" w:rsidRPr="0018624A" w:rsidRDefault="00816F7D" w:rsidP="00816F7D">
            <w:r w:rsidRPr="0018624A">
              <w:t>.068</w:t>
            </w:r>
          </w:p>
        </w:tc>
        <w:tc>
          <w:tcPr>
            <w:tcW w:w="1200" w:type="dxa"/>
            <w:gridSpan w:val="2"/>
            <w:vAlign w:val="center"/>
          </w:tcPr>
          <w:p w14:paraId="5A88AEA6" w14:textId="77777777" w:rsidR="00816F7D" w:rsidRPr="0018624A" w:rsidRDefault="00816F7D" w:rsidP="00816F7D">
            <w:r w:rsidRPr="0018624A">
              <w:t>-17.281</w:t>
            </w:r>
          </w:p>
        </w:tc>
        <w:tc>
          <w:tcPr>
            <w:tcW w:w="1200" w:type="dxa"/>
            <w:vAlign w:val="center"/>
          </w:tcPr>
          <w:p w14:paraId="48A0FBE8" w14:textId="77777777" w:rsidR="00816F7D" w:rsidRPr="0018624A" w:rsidRDefault="00816F7D" w:rsidP="00816F7D">
            <w:r w:rsidRPr="0018624A">
              <w:t>.71</w:t>
            </w:r>
          </w:p>
        </w:tc>
        <w:tc>
          <w:tcPr>
            <w:tcW w:w="600" w:type="dxa"/>
            <w:vAlign w:val="center"/>
          </w:tcPr>
          <w:p w14:paraId="62ECD8CF" w14:textId="77777777" w:rsidR="00816F7D" w:rsidRPr="0018624A" w:rsidRDefault="00816F7D" w:rsidP="00816F7D">
            <w:r w:rsidRPr="0018624A">
              <w:t>*</w:t>
            </w:r>
          </w:p>
        </w:tc>
      </w:tr>
      <w:tr w:rsidR="00816F7D" w:rsidRPr="0018624A" w14:paraId="0EE1E2BA" w14:textId="77777777" w:rsidTr="0076766C">
        <w:trPr>
          <w:jc w:val="center"/>
        </w:trPr>
        <w:tc>
          <w:tcPr>
            <w:tcW w:w="1308" w:type="dxa"/>
            <w:vAlign w:val="center"/>
          </w:tcPr>
          <w:p w14:paraId="2D3B0429" w14:textId="77777777" w:rsidR="00816F7D" w:rsidRPr="0018624A" w:rsidRDefault="00816F7D" w:rsidP="00816F7D">
            <w:r w:rsidRPr="0018624A">
              <w:t>BS</w:t>
            </w:r>
          </w:p>
        </w:tc>
        <w:tc>
          <w:tcPr>
            <w:tcW w:w="1200" w:type="dxa"/>
            <w:gridSpan w:val="2"/>
            <w:vAlign w:val="center"/>
          </w:tcPr>
          <w:p w14:paraId="4C1B54D6" w14:textId="77777777" w:rsidR="00816F7D" w:rsidRPr="0018624A" w:rsidRDefault="00816F7D" w:rsidP="00816F7D">
            <w:r w:rsidRPr="0018624A">
              <w:t>.899</w:t>
            </w:r>
          </w:p>
        </w:tc>
        <w:tc>
          <w:tcPr>
            <w:tcW w:w="1200" w:type="dxa"/>
            <w:vAlign w:val="center"/>
          </w:tcPr>
          <w:p w14:paraId="4F927B92" w14:textId="77777777" w:rsidR="00816F7D" w:rsidRPr="0018624A" w:rsidRDefault="00816F7D" w:rsidP="00816F7D">
            <w:r w:rsidRPr="0018624A">
              <w:t>.367</w:t>
            </w:r>
          </w:p>
        </w:tc>
        <w:tc>
          <w:tcPr>
            <w:tcW w:w="850" w:type="dxa"/>
            <w:gridSpan w:val="2"/>
            <w:vAlign w:val="center"/>
          </w:tcPr>
          <w:p w14:paraId="419B641C" w14:textId="77777777" w:rsidR="00816F7D" w:rsidRPr="0018624A" w:rsidRDefault="00816F7D" w:rsidP="00816F7D">
            <w:r w:rsidRPr="0018624A">
              <w:t>2.45</w:t>
            </w:r>
          </w:p>
        </w:tc>
        <w:tc>
          <w:tcPr>
            <w:tcW w:w="900" w:type="dxa"/>
            <w:vAlign w:val="center"/>
          </w:tcPr>
          <w:p w14:paraId="015C585F" w14:textId="77777777" w:rsidR="00816F7D" w:rsidRPr="0018624A" w:rsidRDefault="00816F7D" w:rsidP="00816F7D">
            <w:r w:rsidRPr="0018624A">
              <w:t>.027</w:t>
            </w:r>
          </w:p>
        </w:tc>
        <w:tc>
          <w:tcPr>
            <w:tcW w:w="1200" w:type="dxa"/>
            <w:gridSpan w:val="2"/>
            <w:vAlign w:val="center"/>
          </w:tcPr>
          <w:p w14:paraId="4EB6F1F4" w14:textId="77777777" w:rsidR="00816F7D" w:rsidRPr="0018624A" w:rsidRDefault="00816F7D" w:rsidP="00816F7D">
            <w:r w:rsidRPr="0018624A">
              <w:t>.116</w:t>
            </w:r>
          </w:p>
        </w:tc>
        <w:tc>
          <w:tcPr>
            <w:tcW w:w="1200" w:type="dxa"/>
            <w:vAlign w:val="center"/>
          </w:tcPr>
          <w:p w14:paraId="5B6CF562" w14:textId="77777777" w:rsidR="00816F7D" w:rsidRPr="0018624A" w:rsidRDefault="00816F7D" w:rsidP="00816F7D">
            <w:r w:rsidRPr="0018624A">
              <w:t>1.682</w:t>
            </w:r>
          </w:p>
        </w:tc>
        <w:tc>
          <w:tcPr>
            <w:tcW w:w="600" w:type="dxa"/>
            <w:vAlign w:val="center"/>
          </w:tcPr>
          <w:p w14:paraId="7E0E8A70" w14:textId="77777777" w:rsidR="00816F7D" w:rsidRPr="0018624A" w:rsidRDefault="00816F7D" w:rsidP="00816F7D">
            <w:r w:rsidRPr="0018624A">
              <w:t>**</w:t>
            </w:r>
          </w:p>
        </w:tc>
      </w:tr>
      <w:tr w:rsidR="00816F7D" w:rsidRPr="0018624A" w14:paraId="08D521C9" w14:textId="77777777" w:rsidTr="0076766C">
        <w:trPr>
          <w:jc w:val="center"/>
        </w:trPr>
        <w:tc>
          <w:tcPr>
            <w:tcW w:w="1308" w:type="dxa"/>
            <w:vAlign w:val="center"/>
          </w:tcPr>
          <w:p w14:paraId="0AC3ACC0" w14:textId="77777777" w:rsidR="00816F7D" w:rsidRPr="0018624A" w:rsidRDefault="00816F7D" w:rsidP="00816F7D">
            <w:r w:rsidRPr="0018624A">
              <w:t>CAR</w:t>
            </w:r>
          </w:p>
        </w:tc>
        <w:tc>
          <w:tcPr>
            <w:tcW w:w="1200" w:type="dxa"/>
            <w:gridSpan w:val="2"/>
            <w:vAlign w:val="center"/>
          </w:tcPr>
          <w:p w14:paraId="0FC6F78D" w14:textId="77777777" w:rsidR="00816F7D" w:rsidRPr="0018624A" w:rsidRDefault="00816F7D" w:rsidP="00816F7D">
            <w:r w:rsidRPr="0018624A">
              <w:t>-3.558</w:t>
            </w:r>
          </w:p>
        </w:tc>
        <w:tc>
          <w:tcPr>
            <w:tcW w:w="1200" w:type="dxa"/>
            <w:vAlign w:val="center"/>
          </w:tcPr>
          <w:p w14:paraId="5F139FBB" w14:textId="77777777" w:rsidR="00816F7D" w:rsidRPr="0018624A" w:rsidRDefault="00816F7D" w:rsidP="00816F7D">
            <w:r w:rsidRPr="0018624A">
              <w:t>2.466</w:t>
            </w:r>
          </w:p>
        </w:tc>
        <w:tc>
          <w:tcPr>
            <w:tcW w:w="850" w:type="dxa"/>
            <w:gridSpan w:val="2"/>
            <w:vAlign w:val="center"/>
          </w:tcPr>
          <w:p w14:paraId="0EE3BC07" w14:textId="77777777" w:rsidR="00816F7D" w:rsidRPr="0018624A" w:rsidRDefault="00816F7D" w:rsidP="00816F7D">
            <w:r w:rsidRPr="0018624A">
              <w:t>-1.44</w:t>
            </w:r>
          </w:p>
        </w:tc>
        <w:tc>
          <w:tcPr>
            <w:tcW w:w="900" w:type="dxa"/>
            <w:vAlign w:val="center"/>
          </w:tcPr>
          <w:p w14:paraId="51B10C05" w14:textId="77777777" w:rsidR="00816F7D" w:rsidRPr="0018624A" w:rsidRDefault="00816F7D" w:rsidP="00816F7D">
            <w:r w:rsidRPr="0018624A">
              <w:t>.17</w:t>
            </w:r>
          </w:p>
        </w:tc>
        <w:tc>
          <w:tcPr>
            <w:tcW w:w="1200" w:type="dxa"/>
            <w:gridSpan w:val="2"/>
            <w:vAlign w:val="center"/>
          </w:tcPr>
          <w:p w14:paraId="1026ED7E" w14:textId="77777777" w:rsidR="00816F7D" w:rsidRPr="0018624A" w:rsidRDefault="00816F7D" w:rsidP="00816F7D">
            <w:r w:rsidRPr="0018624A">
              <w:t>-8.815</w:t>
            </w:r>
          </w:p>
        </w:tc>
        <w:tc>
          <w:tcPr>
            <w:tcW w:w="1200" w:type="dxa"/>
            <w:vAlign w:val="center"/>
          </w:tcPr>
          <w:p w14:paraId="4071ADCD" w14:textId="77777777" w:rsidR="00816F7D" w:rsidRPr="0018624A" w:rsidRDefault="00816F7D" w:rsidP="00816F7D">
            <w:r w:rsidRPr="0018624A">
              <w:t>1.698</w:t>
            </w:r>
          </w:p>
        </w:tc>
        <w:tc>
          <w:tcPr>
            <w:tcW w:w="600" w:type="dxa"/>
            <w:vAlign w:val="center"/>
          </w:tcPr>
          <w:p w14:paraId="64255FB2" w14:textId="77777777" w:rsidR="00816F7D" w:rsidRPr="0018624A" w:rsidRDefault="00816F7D" w:rsidP="00816F7D"/>
        </w:tc>
      </w:tr>
      <w:tr w:rsidR="00816F7D" w:rsidRPr="0018624A" w14:paraId="1EA36B0F" w14:textId="77777777" w:rsidTr="0076766C">
        <w:trPr>
          <w:jc w:val="center"/>
        </w:trPr>
        <w:tc>
          <w:tcPr>
            <w:tcW w:w="1308" w:type="dxa"/>
            <w:vAlign w:val="center"/>
          </w:tcPr>
          <w:p w14:paraId="737DC1A1" w14:textId="77777777" w:rsidR="00816F7D" w:rsidRPr="0018624A" w:rsidRDefault="00816F7D" w:rsidP="00816F7D">
            <w:r w:rsidRPr="0018624A">
              <w:t>Constant</w:t>
            </w:r>
          </w:p>
        </w:tc>
        <w:tc>
          <w:tcPr>
            <w:tcW w:w="1200" w:type="dxa"/>
            <w:gridSpan w:val="2"/>
            <w:vAlign w:val="center"/>
          </w:tcPr>
          <w:p w14:paraId="3A7A44BC" w14:textId="77777777" w:rsidR="00816F7D" w:rsidRPr="0018624A" w:rsidRDefault="00816F7D" w:rsidP="00816F7D">
            <w:r w:rsidRPr="0018624A">
              <w:t>-10.492</w:t>
            </w:r>
          </w:p>
        </w:tc>
        <w:tc>
          <w:tcPr>
            <w:tcW w:w="1200" w:type="dxa"/>
            <w:vAlign w:val="center"/>
          </w:tcPr>
          <w:p w14:paraId="7FABB4E3" w14:textId="77777777" w:rsidR="00816F7D" w:rsidRPr="0018624A" w:rsidRDefault="00816F7D" w:rsidP="00816F7D">
            <w:r w:rsidRPr="0018624A">
              <w:t>7.846</w:t>
            </w:r>
          </w:p>
        </w:tc>
        <w:tc>
          <w:tcPr>
            <w:tcW w:w="850" w:type="dxa"/>
            <w:gridSpan w:val="2"/>
            <w:vAlign w:val="center"/>
          </w:tcPr>
          <w:p w14:paraId="79476B70" w14:textId="77777777" w:rsidR="00816F7D" w:rsidRPr="0018624A" w:rsidRDefault="00816F7D" w:rsidP="00816F7D">
            <w:r w:rsidRPr="0018624A">
              <w:t>-1.34</w:t>
            </w:r>
          </w:p>
        </w:tc>
        <w:tc>
          <w:tcPr>
            <w:tcW w:w="900" w:type="dxa"/>
            <w:vAlign w:val="center"/>
          </w:tcPr>
          <w:p w14:paraId="43F19502" w14:textId="77777777" w:rsidR="00816F7D" w:rsidRPr="0018624A" w:rsidRDefault="00816F7D" w:rsidP="00816F7D">
            <w:r w:rsidRPr="0018624A">
              <w:t>.201</w:t>
            </w:r>
          </w:p>
        </w:tc>
        <w:tc>
          <w:tcPr>
            <w:tcW w:w="1200" w:type="dxa"/>
            <w:gridSpan w:val="2"/>
            <w:vAlign w:val="center"/>
          </w:tcPr>
          <w:p w14:paraId="25EE482B" w14:textId="77777777" w:rsidR="00816F7D" w:rsidRPr="0018624A" w:rsidRDefault="00816F7D" w:rsidP="00816F7D">
            <w:r w:rsidRPr="0018624A">
              <w:t>-27.215</w:t>
            </w:r>
          </w:p>
        </w:tc>
        <w:tc>
          <w:tcPr>
            <w:tcW w:w="1200" w:type="dxa"/>
            <w:vAlign w:val="center"/>
          </w:tcPr>
          <w:p w14:paraId="41535650" w14:textId="77777777" w:rsidR="00816F7D" w:rsidRPr="0018624A" w:rsidRDefault="00816F7D" w:rsidP="00816F7D">
            <w:r w:rsidRPr="0018624A">
              <w:t>6.23</w:t>
            </w:r>
          </w:p>
        </w:tc>
        <w:tc>
          <w:tcPr>
            <w:tcW w:w="600" w:type="dxa"/>
            <w:vAlign w:val="center"/>
          </w:tcPr>
          <w:p w14:paraId="352319D9" w14:textId="77777777" w:rsidR="00816F7D" w:rsidRPr="0018624A" w:rsidRDefault="00816F7D" w:rsidP="00816F7D"/>
        </w:tc>
      </w:tr>
      <w:tr w:rsidR="00816F7D" w:rsidRPr="0018624A" w14:paraId="3042C97F" w14:textId="77777777" w:rsidTr="0076766C">
        <w:trPr>
          <w:jc w:val="center"/>
        </w:trPr>
        <w:tc>
          <w:tcPr>
            <w:tcW w:w="8458" w:type="dxa"/>
            <w:gridSpan w:val="11"/>
            <w:vAlign w:val="center"/>
          </w:tcPr>
          <w:p w14:paraId="7E4ECE06" w14:textId="77777777" w:rsidR="00816F7D" w:rsidRPr="0018624A" w:rsidRDefault="00816F7D" w:rsidP="00816F7D"/>
        </w:tc>
      </w:tr>
      <w:tr w:rsidR="00816F7D" w:rsidRPr="0018624A" w14:paraId="0541BF1A" w14:textId="77777777" w:rsidTr="00816F7D">
        <w:trPr>
          <w:jc w:val="center"/>
        </w:trPr>
        <w:tc>
          <w:tcPr>
            <w:tcW w:w="2008" w:type="dxa"/>
            <w:gridSpan w:val="2"/>
            <w:vAlign w:val="center"/>
          </w:tcPr>
          <w:p w14:paraId="0D38D6CB" w14:textId="77777777" w:rsidR="00816F7D" w:rsidRPr="0018624A" w:rsidRDefault="00816F7D" w:rsidP="00816F7D">
            <w:r w:rsidRPr="0018624A">
              <w:t>Mean dependent var</w:t>
            </w:r>
          </w:p>
        </w:tc>
        <w:tc>
          <w:tcPr>
            <w:tcW w:w="1750" w:type="dxa"/>
            <w:gridSpan w:val="3"/>
            <w:vAlign w:val="center"/>
          </w:tcPr>
          <w:p w14:paraId="5894F26D" w14:textId="77777777" w:rsidR="00816F7D" w:rsidRPr="0018624A" w:rsidRDefault="00816F7D" w:rsidP="00816F7D">
            <w:r w:rsidRPr="0018624A">
              <w:t>1.893</w:t>
            </w:r>
          </w:p>
        </w:tc>
        <w:tc>
          <w:tcPr>
            <w:tcW w:w="2300" w:type="dxa"/>
            <w:gridSpan w:val="3"/>
            <w:vAlign w:val="center"/>
          </w:tcPr>
          <w:p w14:paraId="652520C7" w14:textId="77777777" w:rsidR="00816F7D" w:rsidRPr="0018624A" w:rsidRDefault="00816F7D" w:rsidP="00816F7D">
            <w:r w:rsidRPr="0018624A">
              <w:t>SD dependent var</w:t>
            </w:r>
          </w:p>
        </w:tc>
        <w:tc>
          <w:tcPr>
            <w:tcW w:w="2397" w:type="dxa"/>
            <w:gridSpan w:val="3"/>
            <w:vAlign w:val="center"/>
          </w:tcPr>
          <w:p w14:paraId="5C6762AF" w14:textId="77777777" w:rsidR="00816F7D" w:rsidRPr="0018624A" w:rsidRDefault="00816F7D" w:rsidP="00816F7D">
            <w:r w:rsidRPr="0018624A">
              <w:t>0.746</w:t>
            </w:r>
          </w:p>
        </w:tc>
      </w:tr>
      <w:tr w:rsidR="00816F7D" w:rsidRPr="0018624A" w14:paraId="7CD5060E" w14:textId="77777777" w:rsidTr="00816F7D">
        <w:trPr>
          <w:jc w:val="center"/>
        </w:trPr>
        <w:tc>
          <w:tcPr>
            <w:tcW w:w="2008" w:type="dxa"/>
            <w:gridSpan w:val="2"/>
            <w:vAlign w:val="center"/>
          </w:tcPr>
          <w:p w14:paraId="464CEEA9" w14:textId="77777777" w:rsidR="00816F7D" w:rsidRPr="0018624A" w:rsidRDefault="00816F7D" w:rsidP="00816F7D">
            <w:r w:rsidRPr="0018624A">
              <w:t>R-squared</w:t>
            </w:r>
          </w:p>
        </w:tc>
        <w:tc>
          <w:tcPr>
            <w:tcW w:w="1750" w:type="dxa"/>
            <w:gridSpan w:val="3"/>
            <w:vAlign w:val="center"/>
          </w:tcPr>
          <w:p w14:paraId="106C954D" w14:textId="77777777" w:rsidR="00816F7D" w:rsidRPr="0018624A" w:rsidRDefault="00816F7D" w:rsidP="00816F7D">
            <w:r w:rsidRPr="0018624A">
              <w:t>0.595</w:t>
            </w:r>
          </w:p>
        </w:tc>
        <w:tc>
          <w:tcPr>
            <w:tcW w:w="2300" w:type="dxa"/>
            <w:gridSpan w:val="3"/>
            <w:vAlign w:val="center"/>
          </w:tcPr>
          <w:p w14:paraId="30A85E86" w14:textId="77777777" w:rsidR="00816F7D" w:rsidRPr="0018624A" w:rsidRDefault="00816F7D" w:rsidP="00816F7D">
            <w:r w:rsidRPr="0018624A">
              <w:t>Number of obs</w:t>
            </w:r>
          </w:p>
        </w:tc>
        <w:tc>
          <w:tcPr>
            <w:tcW w:w="2397" w:type="dxa"/>
            <w:gridSpan w:val="3"/>
            <w:vAlign w:val="center"/>
          </w:tcPr>
          <w:p w14:paraId="463F1352" w14:textId="77777777" w:rsidR="00816F7D" w:rsidRPr="0018624A" w:rsidRDefault="00816F7D" w:rsidP="00816F7D">
            <w:r w:rsidRPr="0018624A">
              <w:t>23.000</w:t>
            </w:r>
          </w:p>
        </w:tc>
      </w:tr>
      <w:tr w:rsidR="00816F7D" w:rsidRPr="0018624A" w14:paraId="3FC166F7" w14:textId="77777777" w:rsidTr="00816F7D">
        <w:trPr>
          <w:jc w:val="center"/>
        </w:trPr>
        <w:tc>
          <w:tcPr>
            <w:tcW w:w="2008" w:type="dxa"/>
            <w:gridSpan w:val="2"/>
            <w:vAlign w:val="center"/>
          </w:tcPr>
          <w:p w14:paraId="13563C0D" w14:textId="77777777" w:rsidR="00816F7D" w:rsidRPr="0018624A" w:rsidRDefault="00816F7D" w:rsidP="00816F7D">
            <w:r w:rsidRPr="0018624A">
              <w:t>F-test</w:t>
            </w:r>
          </w:p>
        </w:tc>
        <w:tc>
          <w:tcPr>
            <w:tcW w:w="1750" w:type="dxa"/>
            <w:gridSpan w:val="3"/>
            <w:vAlign w:val="center"/>
          </w:tcPr>
          <w:p w14:paraId="6E4A8707" w14:textId="77777777" w:rsidR="00816F7D" w:rsidRPr="0018624A" w:rsidRDefault="00816F7D" w:rsidP="00816F7D">
            <w:r w:rsidRPr="0018624A">
              <w:t>4.407</w:t>
            </w:r>
          </w:p>
        </w:tc>
        <w:tc>
          <w:tcPr>
            <w:tcW w:w="2300" w:type="dxa"/>
            <w:gridSpan w:val="3"/>
            <w:vAlign w:val="center"/>
          </w:tcPr>
          <w:p w14:paraId="3C2AFC3F" w14:textId="77777777" w:rsidR="00816F7D" w:rsidRPr="0018624A" w:rsidRDefault="00816F7D" w:rsidP="00816F7D">
            <w:r w:rsidRPr="0018624A">
              <w:t>Prob &gt; F</w:t>
            </w:r>
          </w:p>
        </w:tc>
        <w:tc>
          <w:tcPr>
            <w:tcW w:w="2397" w:type="dxa"/>
            <w:gridSpan w:val="3"/>
            <w:vAlign w:val="center"/>
          </w:tcPr>
          <w:p w14:paraId="581BDB85" w14:textId="77777777" w:rsidR="00816F7D" w:rsidRPr="0018624A" w:rsidRDefault="00816F7D" w:rsidP="00816F7D">
            <w:r w:rsidRPr="0018624A">
              <w:t>0.008</w:t>
            </w:r>
          </w:p>
        </w:tc>
      </w:tr>
      <w:tr w:rsidR="00816F7D" w:rsidRPr="0018624A" w14:paraId="70D42A4B" w14:textId="77777777" w:rsidTr="00816F7D">
        <w:trPr>
          <w:jc w:val="center"/>
        </w:trPr>
        <w:tc>
          <w:tcPr>
            <w:tcW w:w="2008" w:type="dxa"/>
            <w:gridSpan w:val="2"/>
            <w:vAlign w:val="center"/>
          </w:tcPr>
          <w:p w14:paraId="7997EFEA" w14:textId="77777777" w:rsidR="00816F7D" w:rsidRPr="0018624A" w:rsidRDefault="00816F7D" w:rsidP="00816F7D">
            <w:r w:rsidRPr="0018624A">
              <w:t>Akaike crit. (AIC)</w:t>
            </w:r>
          </w:p>
        </w:tc>
        <w:tc>
          <w:tcPr>
            <w:tcW w:w="1750" w:type="dxa"/>
            <w:gridSpan w:val="3"/>
            <w:vAlign w:val="center"/>
          </w:tcPr>
          <w:p w14:paraId="54DBCA36" w14:textId="77777777" w:rsidR="00816F7D" w:rsidRPr="0018624A" w:rsidRDefault="00816F7D" w:rsidP="00816F7D">
            <w:r w:rsidRPr="0018624A">
              <w:t>26.973</w:t>
            </w:r>
          </w:p>
        </w:tc>
        <w:tc>
          <w:tcPr>
            <w:tcW w:w="2300" w:type="dxa"/>
            <w:gridSpan w:val="3"/>
            <w:vAlign w:val="center"/>
          </w:tcPr>
          <w:p w14:paraId="0EE94A2B" w14:textId="77777777" w:rsidR="00816F7D" w:rsidRPr="0018624A" w:rsidRDefault="00816F7D" w:rsidP="00816F7D">
            <w:r w:rsidRPr="0018624A">
              <w:t>Bayesian crit. (BIC)</w:t>
            </w:r>
          </w:p>
        </w:tc>
        <w:tc>
          <w:tcPr>
            <w:tcW w:w="2397" w:type="dxa"/>
            <w:gridSpan w:val="3"/>
            <w:vAlign w:val="center"/>
          </w:tcPr>
          <w:p w14:paraId="26CF1137" w14:textId="77777777" w:rsidR="00816F7D" w:rsidRPr="0018624A" w:rsidRDefault="00816F7D" w:rsidP="00816F7D">
            <w:r w:rsidRPr="0018624A">
              <w:t>33.786</w:t>
            </w:r>
          </w:p>
        </w:tc>
      </w:tr>
      <w:tr w:rsidR="00816F7D" w:rsidRPr="0018624A" w14:paraId="189D3277" w14:textId="77777777" w:rsidTr="0076766C">
        <w:trPr>
          <w:jc w:val="center"/>
        </w:trPr>
        <w:tc>
          <w:tcPr>
            <w:tcW w:w="8458" w:type="dxa"/>
            <w:gridSpan w:val="11"/>
            <w:vAlign w:val="center"/>
          </w:tcPr>
          <w:p w14:paraId="16676BBF" w14:textId="77777777" w:rsidR="00816F7D" w:rsidRPr="0018624A" w:rsidRDefault="00816F7D" w:rsidP="00816F7D">
            <w:r w:rsidRPr="0018624A">
              <w:rPr>
                <w:i/>
                <w:iCs/>
              </w:rPr>
              <w:t>*** p&lt;.01, ** p&lt;.05, * p&lt;.1</w:t>
            </w:r>
          </w:p>
        </w:tc>
      </w:tr>
    </w:tbl>
    <w:p w14:paraId="1D9858AB" w14:textId="77777777" w:rsidR="00816F7D" w:rsidRDefault="00816F7D" w:rsidP="00816F7D">
      <w:pPr>
        <w:rPr>
          <w:b/>
          <w:bCs/>
          <w:i/>
          <w:iCs/>
          <w:u w:val="single"/>
        </w:rPr>
      </w:pPr>
    </w:p>
    <w:p w14:paraId="0AF344D6" w14:textId="77777777" w:rsidR="00816F7D" w:rsidRDefault="00816F7D" w:rsidP="00816F7D">
      <w:pPr>
        <w:rPr>
          <w:b/>
          <w:bCs/>
          <w:i/>
          <w:iCs/>
          <w:u w:val="single"/>
        </w:rPr>
      </w:pPr>
    </w:p>
    <w:p w14:paraId="0F80175D" w14:textId="77777777" w:rsidR="00816F7D" w:rsidRDefault="00816F7D" w:rsidP="00816F7D">
      <w:pPr>
        <w:rPr>
          <w:b/>
          <w:bCs/>
          <w:i/>
          <w:iCs/>
          <w:u w:val="single"/>
        </w:rPr>
      </w:pPr>
    </w:p>
    <w:p w14:paraId="4B8EF884" w14:textId="77777777" w:rsidR="00816F7D" w:rsidRDefault="00816F7D" w:rsidP="00816F7D">
      <w:pPr>
        <w:rPr>
          <w:b/>
          <w:bCs/>
          <w:i/>
          <w:iCs/>
          <w:u w:val="single"/>
        </w:rPr>
      </w:pPr>
    </w:p>
    <w:p w14:paraId="61A5BBEC" w14:textId="400CF139" w:rsidR="00816F7D" w:rsidRPr="00816F7D" w:rsidRDefault="00816F7D" w:rsidP="00816F7D">
      <w:pPr>
        <w:rPr>
          <w:b/>
          <w:bCs/>
          <w:i/>
          <w:iCs/>
          <w:u w:val="single"/>
        </w:rPr>
      </w:pPr>
      <w:r w:rsidRPr="00816F7D">
        <w:rPr>
          <w:b/>
          <w:bCs/>
          <w:i/>
          <w:iCs/>
          <w:u w:val="single"/>
        </w:rPr>
        <w:t xml:space="preserve">Random effect Regression results </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700"/>
        <w:gridCol w:w="500"/>
        <w:gridCol w:w="1200"/>
        <w:gridCol w:w="50"/>
        <w:gridCol w:w="800"/>
        <w:gridCol w:w="900"/>
        <w:gridCol w:w="600"/>
        <w:gridCol w:w="600"/>
        <w:gridCol w:w="1200"/>
        <w:gridCol w:w="600"/>
        <w:gridCol w:w="29"/>
      </w:tblGrid>
      <w:tr w:rsidR="00816F7D" w:rsidRPr="0018624A" w14:paraId="7B444D87" w14:textId="77777777" w:rsidTr="00816F7D">
        <w:trPr>
          <w:gridAfter w:val="1"/>
          <w:wAfter w:w="29" w:type="dxa"/>
          <w:jc w:val="center"/>
        </w:trPr>
        <w:tc>
          <w:tcPr>
            <w:tcW w:w="1366" w:type="dxa"/>
            <w:vAlign w:val="center"/>
          </w:tcPr>
          <w:p w14:paraId="2E272B85" w14:textId="77777777" w:rsidR="00816F7D" w:rsidRPr="0018624A" w:rsidRDefault="00816F7D" w:rsidP="00816F7D">
            <w:r w:rsidRPr="0018624A">
              <w:t>LR</w:t>
            </w:r>
          </w:p>
        </w:tc>
        <w:tc>
          <w:tcPr>
            <w:tcW w:w="1200" w:type="dxa"/>
            <w:gridSpan w:val="2"/>
            <w:vAlign w:val="center"/>
          </w:tcPr>
          <w:p w14:paraId="2FBD5E8A" w14:textId="77777777" w:rsidR="00816F7D" w:rsidRPr="0018624A" w:rsidRDefault="00816F7D" w:rsidP="00816F7D">
            <w:r w:rsidRPr="0018624A">
              <w:t>Coef.</w:t>
            </w:r>
          </w:p>
        </w:tc>
        <w:tc>
          <w:tcPr>
            <w:tcW w:w="1200" w:type="dxa"/>
            <w:vAlign w:val="center"/>
          </w:tcPr>
          <w:p w14:paraId="0EE0AA14" w14:textId="77777777" w:rsidR="00816F7D" w:rsidRPr="0018624A" w:rsidRDefault="00816F7D" w:rsidP="00816F7D">
            <w:r w:rsidRPr="0018624A">
              <w:t>St.Err.</w:t>
            </w:r>
          </w:p>
        </w:tc>
        <w:tc>
          <w:tcPr>
            <w:tcW w:w="850" w:type="dxa"/>
            <w:gridSpan w:val="2"/>
            <w:vAlign w:val="center"/>
          </w:tcPr>
          <w:p w14:paraId="5BE981DA" w14:textId="77777777" w:rsidR="00816F7D" w:rsidRPr="0018624A" w:rsidRDefault="00816F7D" w:rsidP="00816F7D">
            <w:r w:rsidRPr="0018624A">
              <w:t>t-value</w:t>
            </w:r>
          </w:p>
        </w:tc>
        <w:tc>
          <w:tcPr>
            <w:tcW w:w="900" w:type="dxa"/>
            <w:vAlign w:val="center"/>
          </w:tcPr>
          <w:p w14:paraId="28277811" w14:textId="77777777" w:rsidR="00816F7D" w:rsidRPr="0018624A" w:rsidRDefault="00816F7D" w:rsidP="00816F7D">
            <w:r w:rsidRPr="0018624A">
              <w:t>p-value</w:t>
            </w:r>
          </w:p>
        </w:tc>
        <w:tc>
          <w:tcPr>
            <w:tcW w:w="1200" w:type="dxa"/>
            <w:gridSpan w:val="2"/>
            <w:vAlign w:val="center"/>
          </w:tcPr>
          <w:p w14:paraId="0D35DEEC" w14:textId="77777777" w:rsidR="00816F7D" w:rsidRPr="0018624A" w:rsidRDefault="00816F7D" w:rsidP="00816F7D">
            <w:r w:rsidRPr="0018624A">
              <w:t>[95% Conf</w:t>
            </w:r>
          </w:p>
        </w:tc>
        <w:tc>
          <w:tcPr>
            <w:tcW w:w="1200" w:type="dxa"/>
            <w:vAlign w:val="center"/>
          </w:tcPr>
          <w:p w14:paraId="66B5C6CB" w14:textId="77777777" w:rsidR="00816F7D" w:rsidRPr="0018624A" w:rsidRDefault="00816F7D" w:rsidP="00816F7D">
            <w:r w:rsidRPr="0018624A">
              <w:t>Interval]</w:t>
            </w:r>
          </w:p>
        </w:tc>
        <w:tc>
          <w:tcPr>
            <w:tcW w:w="600" w:type="dxa"/>
            <w:vAlign w:val="center"/>
          </w:tcPr>
          <w:p w14:paraId="66984963" w14:textId="77777777" w:rsidR="00816F7D" w:rsidRPr="0018624A" w:rsidRDefault="00816F7D" w:rsidP="00816F7D">
            <w:r w:rsidRPr="0018624A">
              <w:t>Sig</w:t>
            </w:r>
          </w:p>
        </w:tc>
      </w:tr>
      <w:tr w:rsidR="00816F7D" w:rsidRPr="0018624A" w14:paraId="5B16D984" w14:textId="77777777" w:rsidTr="00816F7D">
        <w:trPr>
          <w:gridAfter w:val="1"/>
          <w:wAfter w:w="29" w:type="dxa"/>
          <w:jc w:val="center"/>
        </w:trPr>
        <w:tc>
          <w:tcPr>
            <w:tcW w:w="1366" w:type="dxa"/>
            <w:vAlign w:val="center"/>
          </w:tcPr>
          <w:p w14:paraId="065F29D6" w14:textId="77777777" w:rsidR="00816F7D" w:rsidRPr="0018624A" w:rsidRDefault="00816F7D" w:rsidP="00816F7D">
            <w:r w:rsidRPr="0018624A">
              <w:t>DA</w:t>
            </w:r>
          </w:p>
        </w:tc>
        <w:tc>
          <w:tcPr>
            <w:tcW w:w="1200" w:type="dxa"/>
            <w:gridSpan w:val="2"/>
            <w:vAlign w:val="center"/>
          </w:tcPr>
          <w:p w14:paraId="0BD4988A" w14:textId="77777777" w:rsidR="00816F7D" w:rsidRPr="0018624A" w:rsidRDefault="00816F7D" w:rsidP="00816F7D">
            <w:r w:rsidRPr="0018624A">
              <w:t>-4.663</w:t>
            </w:r>
          </w:p>
        </w:tc>
        <w:tc>
          <w:tcPr>
            <w:tcW w:w="1200" w:type="dxa"/>
            <w:vAlign w:val="center"/>
          </w:tcPr>
          <w:p w14:paraId="75EC9689" w14:textId="77777777" w:rsidR="00816F7D" w:rsidRPr="0018624A" w:rsidRDefault="00816F7D" w:rsidP="00816F7D">
            <w:r w:rsidRPr="0018624A">
              <w:t>4.485</w:t>
            </w:r>
          </w:p>
        </w:tc>
        <w:tc>
          <w:tcPr>
            <w:tcW w:w="850" w:type="dxa"/>
            <w:gridSpan w:val="2"/>
            <w:vAlign w:val="center"/>
          </w:tcPr>
          <w:p w14:paraId="1057ECA6" w14:textId="77777777" w:rsidR="00816F7D" w:rsidRPr="0018624A" w:rsidRDefault="00816F7D" w:rsidP="00816F7D">
            <w:r w:rsidRPr="0018624A">
              <w:t>-1.04</w:t>
            </w:r>
          </w:p>
        </w:tc>
        <w:tc>
          <w:tcPr>
            <w:tcW w:w="900" w:type="dxa"/>
            <w:vAlign w:val="center"/>
          </w:tcPr>
          <w:p w14:paraId="181E5EEB" w14:textId="77777777" w:rsidR="00816F7D" w:rsidRPr="0018624A" w:rsidRDefault="00816F7D" w:rsidP="00816F7D">
            <w:r w:rsidRPr="0018624A">
              <w:t>.315</w:t>
            </w:r>
          </w:p>
        </w:tc>
        <w:tc>
          <w:tcPr>
            <w:tcW w:w="1200" w:type="dxa"/>
            <w:gridSpan w:val="2"/>
            <w:vAlign w:val="center"/>
          </w:tcPr>
          <w:p w14:paraId="602C2334" w14:textId="77777777" w:rsidR="00816F7D" w:rsidRPr="0018624A" w:rsidRDefault="00816F7D" w:rsidP="00816F7D">
            <w:r w:rsidRPr="0018624A">
              <w:t>-14.223</w:t>
            </w:r>
          </w:p>
        </w:tc>
        <w:tc>
          <w:tcPr>
            <w:tcW w:w="1200" w:type="dxa"/>
            <w:vAlign w:val="center"/>
          </w:tcPr>
          <w:p w14:paraId="184F66D2" w14:textId="77777777" w:rsidR="00816F7D" w:rsidRPr="0018624A" w:rsidRDefault="00816F7D" w:rsidP="00816F7D">
            <w:r w:rsidRPr="0018624A">
              <w:t>4.897</w:t>
            </w:r>
          </w:p>
        </w:tc>
        <w:tc>
          <w:tcPr>
            <w:tcW w:w="600" w:type="dxa"/>
            <w:vAlign w:val="center"/>
          </w:tcPr>
          <w:p w14:paraId="39285377" w14:textId="77777777" w:rsidR="00816F7D" w:rsidRPr="0018624A" w:rsidRDefault="00816F7D" w:rsidP="00816F7D"/>
        </w:tc>
      </w:tr>
      <w:tr w:rsidR="00816F7D" w:rsidRPr="0018624A" w14:paraId="6B244955" w14:textId="77777777" w:rsidTr="00816F7D">
        <w:trPr>
          <w:gridAfter w:val="1"/>
          <w:wAfter w:w="29" w:type="dxa"/>
          <w:jc w:val="center"/>
        </w:trPr>
        <w:tc>
          <w:tcPr>
            <w:tcW w:w="1366" w:type="dxa"/>
            <w:vAlign w:val="center"/>
          </w:tcPr>
          <w:p w14:paraId="16A37C44" w14:textId="77777777" w:rsidR="00816F7D" w:rsidRPr="0018624A" w:rsidRDefault="00816F7D" w:rsidP="00816F7D">
            <w:r w:rsidRPr="0018624A">
              <w:t>CR</w:t>
            </w:r>
          </w:p>
        </w:tc>
        <w:tc>
          <w:tcPr>
            <w:tcW w:w="1200" w:type="dxa"/>
            <w:gridSpan w:val="2"/>
            <w:vAlign w:val="center"/>
          </w:tcPr>
          <w:p w14:paraId="18E2F1FB" w14:textId="77777777" w:rsidR="00816F7D" w:rsidRPr="0018624A" w:rsidRDefault="00816F7D" w:rsidP="00816F7D">
            <w:r w:rsidRPr="0018624A">
              <w:t>-1.528</w:t>
            </w:r>
          </w:p>
        </w:tc>
        <w:tc>
          <w:tcPr>
            <w:tcW w:w="1200" w:type="dxa"/>
            <w:vAlign w:val="center"/>
          </w:tcPr>
          <w:p w14:paraId="5569E347" w14:textId="77777777" w:rsidR="00816F7D" w:rsidRPr="0018624A" w:rsidRDefault="00816F7D" w:rsidP="00816F7D">
            <w:r w:rsidRPr="0018624A">
              <w:t>1.671</w:t>
            </w:r>
          </w:p>
        </w:tc>
        <w:tc>
          <w:tcPr>
            <w:tcW w:w="850" w:type="dxa"/>
            <w:gridSpan w:val="2"/>
            <w:vAlign w:val="center"/>
          </w:tcPr>
          <w:p w14:paraId="5A41045E" w14:textId="77777777" w:rsidR="00816F7D" w:rsidRPr="0018624A" w:rsidRDefault="00816F7D" w:rsidP="00816F7D">
            <w:r w:rsidRPr="0018624A">
              <w:t>-0.91</w:t>
            </w:r>
          </w:p>
        </w:tc>
        <w:tc>
          <w:tcPr>
            <w:tcW w:w="900" w:type="dxa"/>
            <w:vAlign w:val="center"/>
          </w:tcPr>
          <w:p w14:paraId="0B51615E" w14:textId="77777777" w:rsidR="00816F7D" w:rsidRPr="0018624A" w:rsidRDefault="00816F7D" w:rsidP="00816F7D">
            <w:r w:rsidRPr="0018624A">
              <w:t>.375</w:t>
            </w:r>
          </w:p>
        </w:tc>
        <w:tc>
          <w:tcPr>
            <w:tcW w:w="1200" w:type="dxa"/>
            <w:gridSpan w:val="2"/>
            <w:vAlign w:val="center"/>
          </w:tcPr>
          <w:p w14:paraId="4C11171C" w14:textId="77777777" w:rsidR="00816F7D" w:rsidRPr="0018624A" w:rsidRDefault="00816F7D" w:rsidP="00816F7D">
            <w:r w:rsidRPr="0018624A">
              <w:t>-5.089</w:t>
            </w:r>
          </w:p>
        </w:tc>
        <w:tc>
          <w:tcPr>
            <w:tcW w:w="1200" w:type="dxa"/>
            <w:vAlign w:val="center"/>
          </w:tcPr>
          <w:p w14:paraId="46B05D58" w14:textId="77777777" w:rsidR="00816F7D" w:rsidRPr="0018624A" w:rsidRDefault="00816F7D" w:rsidP="00816F7D">
            <w:r w:rsidRPr="0018624A">
              <w:t>2.034</w:t>
            </w:r>
          </w:p>
        </w:tc>
        <w:tc>
          <w:tcPr>
            <w:tcW w:w="600" w:type="dxa"/>
            <w:vAlign w:val="center"/>
          </w:tcPr>
          <w:p w14:paraId="76F9E071" w14:textId="77777777" w:rsidR="00816F7D" w:rsidRPr="0018624A" w:rsidRDefault="00816F7D" w:rsidP="00816F7D"/>
        </w:tc>
      </w:tr>
      <w:tr w:rsidR="00816F7D" w:rsidRPr="0018624A" w14:paraId="19AE32C9" w14:textId="77777777" w:rsidTr="00816F7D">
        <w:trPr>
          <w:gridAfter w:val="1"/>
          <w:wAfter w:w="29" w:type="dxa"/>
          <w:jc w:val="center"/>
        </w:trPr>
        <w:tc>
          <w:tcPr>
            <w:tcW w:w="1366" w:type="dxa"/>
            <w:vAlign w:val="center"/>
          </w:tcPr>
          <w:p w14:paraId="6A1E2C80" w14:textId="77777777" w:rsidR="00816F7D" w:rsidRPr="0018624A" w:rsidRDefault="00816F7D" w:rsidP="00816F7D">
            <w:r w:rsidRPr="0018624A">
              <w:t>ROE</w:t>
            </w:r>
          </w:p>
        </w:tc>
        <w:tc>
          <w:tcPr>
            <w:tcW w:w="1200" w:type="dxa"/>
            <w:gridSpan w:val="2"/>
            <w:vAlign w:val="center"/>
          </w:tcPr>
          <w:p w14:paraId="229E16A0" w14:textId="77777777" w:rsidR="00816F7D" w:rsidRPr="0018624A" w:rsidRDefault="00816F7D" w:rsidP="00816F7D">
            <w:r w:rsidRPr="0018624A">
              <w:t>-8.286</w:t>
            </w:r>
          </w:p>
        </w:tc>
        <w:tc>
          <w:tcPr>
            <w:tcW w:w="1200" w:type="dxa"/>
            <w:vAlign w:val="center"/>
          </w:tcPr>
          <w:p w14:paraId="25D6AFB9" w14:textId="77777777" w:rsidR="00816F7D" w:rsidRPr="0018624A" w:rsidRDefault="00816F7D" w:rsidP="00816F7D">
            <w:r w:rsidRPr="0018624A">
              <w:t>4.22</w:t>
            </w:r>
          </w:p>
        </w:tc>
        <w:tc>
          <w:tcPr>
            <w:tcW w:w="850" w:type="dxa"/>
            <w:gridSpan w:val="2"/>
            <w:vAlign w:val="center"/>
          </w:tcPr>
          <w:p w14:paraId="38201D81" w14:textId="77777777" w:rsidR="00816F7D" w:rsidRPr="0018624A" w:rsidRDefault="00816F7D" w:rsidP="00816F7D">
            <w:r w:rsidRPr="0018624A">
              <w:t>-1.96</w:t>
            </w:r>
          </w:p>
        </w:tc>
        <w:tc>
          <w:tcPr>
            <w:tcW w:w="900" w:type="dxa"/>
            <w:vAlign w:val="center"/>
          </w:tcPr>
          <w:p w14:paraId="4318BAC6" w14:textId="77777777" w:rsidR="00816F7D" w:rsidRPr="0018624A" w:rsidRDefault="00816F7D" w:rsidP="00816F7D">
            <w:r w:rsidRPr="0018624A">
              <w:t>.068</w:t>
            </w:r>
          </w:p>
        </w:tc>
        <w:tc>
          <w:tcPr>
            <w:tcW w:w="1200" w:type="dxa"/>
            <w:gridSpan w:val="2"/>
            <w:vAlign w:val="center"/>
          </w:tcPr>
          <w:p w14:paraId="26C220C3" w14:textId="77777777" w:rsidR="00816F7D" w:rsidRPr="0018624A" w:rsidRDefault="00816F7D" w:rsidP="00816F7D">
            <w:r w:rsidRPr="0018624A">
              <w:t>-17.281</w:t>
            </w:r>
          </w:p>
        </w:tc>
        <w:tc>
          <w:tcPr>
            <w:tcW w:w="1200" w:type="dxa"/>
            <w:vAlign w:val="center"/>
          </w:tcPr>
          <w:p w14:paraId="006FA2B9" w14:textId="77777777" w:rsidR="00816F7D" w:rsidRPr="0018624A" w:rsidRDefault="00816F7D" w:rsidP="00816F7D">
            <w:r w:rsidRPr="0018624A">
              <w:t>.71</w:t>
            </w:r>
          </w:p>
        </w:tc>
        <w:tc>
          <w:tcPr>
            <w:tcW w:w="600" w:type="dxa"/>
            <w:vAlign w:val="center"/>
          </w:tcPr>
          <w:p w14:paraId="55C24A6E" w14:textId="77777777" w:rsidR="00816F7D" w:rsidRPr="0018624A" w:rsidRDefault="00816F7D" w:rsidP="00816F7D">
            <w:r w:rsidRPr="0018624A">
              <w:t>*</w:t>
            </w:r>
          </w:p>
        </w:tc>
      </w:tr>
      <w:tr w:rsidR="00816F7D" w:rsidRPr="0018624A" w14:paraId="3ADF1EFD" w14:textId="77777777" w:rsidTr="00816F7D">
        <w:trPr>
          <w:gridAfter w:val="1"/>
          <w:wAfter w:w="29" w:type="dxa"/>
          <w:jc w:val="center"/>
        </w:trPr>
        <w:tc>
          <w:tcPr>
            <w:tcW w:w="1366" w:type="dxa"/>
            <w:vAlign w:val="center"/>
          </w:tcPr>
          <w:p w14:paraId="4ADEF946" w14:textId="77777777" w:rsidR="00816F7D" w:rsidRPr="0018624A" w:rsidRDefault="00816F7D" w:rsidP="00816F7D">
            <w:r w:rsidRPr="0018624A">
              <w:t>BS</w:t>
            </w:r>
          </w:p>
        </w:tc>
        <w:tc>
          <w:tcPr>
            <w:tcW w:w="1200" w:type="dxa"/>
            <w:gridSpan w:val="2"/>
            <w:vAlign w:val="center"/>
          </w:tcPr>
          <w:p w14:paraId="670DCB5E" w14:textId="77777777" w:rsidR="00816F7D" w:rsidRPr="0018624A" w:rsidRDefault="00816F7D" w:rsidP="00816F7D">
            <w:r w:rsidRPr="0018624A">
              <w:t>.899</w:t>
            </w:r>
          </w:p>
        </w:tc>
        <w:tc>
          <w:tcPr>
            <w:tcW w:w="1200" w:type="dxa"/>
            <w:vAlign w:val="center"/>
          </w:tcPr>
          <w:p w14:paraId="173FC64B" w14:textId="77777777" w:rsidR="00816F7D" w:rsidRPr="0018624A" w:rsidRDefault="00816F7D" w:rsidP="00816F7D">
            <w:r w:rsidRPr="0018624A">
              <w:t>.367</w:t>
            </w:r>
          </w:p>
        </w:tc>
        <w:tc>
          <w:tcPr>
            <w:tcW w:w="850" w:type="dxa"/>
            <w:gridSpan w:val="2"/>
            <w:vAlign w:val="center"/>
          </w:tcPr>
          <w:p w14:paraId="04A6E95E" w14:textId="77777777" w:rsidR="00816F7D" w:rsidRPr="0018624A" w:rsidRDefault="00816F7D" w:rsidP="00816F7D">
            <w:r w:rsidRPr="0018624A">
              <w:t>2.45</w:t>
            </w:r>
          </w:p>
        </w:tc>
        <w:tc>
          <w:tcPr>
            <w:tcW w:w="900" w:type="dxa"/>
            <w:vAlign w:val="center"/>
          </w:tcPr>
          <w:p w14:paraId="12535E85" w14:textId="77777777" w:rsidR="00816F7D" w:rsidRPr="0018624A" w:rsidRDefault="00816F7D" w:rsidP="00816F7D">
            <w:r w:rsidRPr="0018624A">
              <w:t>.027</w:t>
            </w:r>
          </w:p>
        </w:tc>
        <w:tc>
          <w:tcPr>
            <w:tcW w:w="1200" w:type="dxa"/>
            <w:gridSpan w:val="2"/>
            <w:vAlign w:val="center"/>
          </w:tcPr>
          <w:p w14:paraId="235DBD9B" w14:textId="77777777" w:rsidR="00816F7D" w:rsidRPr="0018624A" w:rsidRDefault="00816F7D" w:rsidP="00816F7D">
            <w:r w:rsidRPr="0018624A">
              <w:t>.116</w:t>
            </w:r>
          </w:p>
        </w:tc>
        <w:tc>
          <w:tcPr>
            <w:tcW w:w="1200" w:type="dxa"/>
            <w:vAlign w:val="center"/>
          </w:tcPr>
          <w:p w14:paraId="5E3F9A01" w14:textId="77777777" w:rsidR="00816F7D" w:rsidRPr="0018624A" w:rsidRDefault="00816F7D" w:rsidP="00816F7D">
            <w:r w:rsidRPr="0018624A">
              <w:t>1.682</w:t>
            </w:r>
          </w:p>
        </w:tc>
        <w:tc>
          <w:tcPr>
            <w:tcW w:w="600" w:type="dxa"/>
            <w:vAlign w:val="center"/>
          </w:tcPr>
          <w:p w14:paraId="49040921" w14:textId="77777777" w:rsidR="00816F7D" w:rsidRPr="0018624A" w:rsidRDefault="00816F7D" w:rsidP="00816F7D">
            <w:r w:rsidRPr="0018624A">
              <w:t>**</w:t>
            </w:r>
          </w:p>
        </w:tc>
      </w:tr>
      <w:tr w:rsidR="00816F7D" w:rsidRPr="0018624A" w14:paraId="6469620B" w14:textId="77777777" w:rsidTr="00816F7D">
        <w:trPr>
          <w:gridAfter w:val="1"/>
          <w:wAfter w:w="29" w:type="dxa"/>
          <w:jc w:val="center"/>
        </w:trPr>
        <w:tc>
          <w:tcPr>
            <w:tcW w:w="1366" w:type="dxa"/>
            <w:vAlign w:val="center"/>
          </w:tcPr>
          <w:p w14:paraId="1CB4AE3F" w14:textId="77777777" w:rsidR="00816F7D" w:rsidRPr="0018624A" w:rsidRDefault="00816F7D" w:rsidP="00816F7D">
            <w:r w:rsidRPr="0018624A">
              <w:t>CAR</w:t>
            </w:r>
          </w:p>
        </w:tc>
        <w:tc>
          <w:tcPr>
            <w:tcW w:w="1200" w:type="dxa"/>
            <w:gridSpan w:val="2"/>
            <w:vAlign w:val="center"/>
          </w:tcPr>
          <w:p w14:paraId="5A8D74A9" w14:textId="77777777" w:rsidR="00816F7D" w:rsidRPr="0018624A" w:rsidRDefault="00816F7D" w:rsidP="00816F7D">
            <w:r w:rsidRPr="0018624A">
              <w:t>-3.558</w:t>
            </w:r>
          </w:p>
        </w:tc>
        <w:tc>
          <w:tcPr>
            <w:tcW w:w="1200" w:type="dxa"/>
            <w:vAlign w:val="center"/>
          </w:tcPr>
          <w:p w14:paraId="7FC1660F" w14:textId="77777777" w:rsidR="00816F7D" w:rsidRPr="0018624A" w:rsidRDefault="00816F7D" w:rsidP="00816F7D">
            <w:r w:rsidRPr="0018624A">
              <w:t>2.466</w:t>
            </w:r>
          </w:p>
        </w:tc>
        <w:tc>
          <w:tcPr>
            <w:tcW w:w="850" w:type="dxa"/>
            <w:gridSpan w:val="2"/>
            <w:vAlign w:val="center"/>
          </w:tcPr>
          <w:p w14:paraId="39755884" w14:textId="77777777" w:rsidR="00816F7D" w:rsidRPr="0018624A" w:rsidRDefault="00816F7D" w:rsidP="00816F7D">
            <w:r w:rsidRPr="0018624A">
              <w:t>-1.44</w:t>
            </w:r>
          </w:p>
        </w:tc>
        <w:tc>
          <w:tcPr>
            <w:tcW w:w="900" w:type="dxa"/>
            <w:vAlign w:val="center"/>
          </w:tcPr>
          <w:p w14:paraId="65D19E96" w14:textId="77777777" w:rsidR="00816F7D" w:rsidRPr="0018624A" w:rsidRDefault="00816F7D" w:rsidP="00816F7D">
            <w:r w:rsidRPr="0018624A">
              <w:t>.17</w:t>
            </w:r>
          </w:p>
        </w:tc>
        <w:tc>
          <w:tcPr>
            <w:tcW w:w="1200" w:type="dxa"/>
            <w:gridSpan w:val="2"/>
            <w:vAlign w:val="center"/>
          </w:tcPr>
          <w:p w14:paraId="35BDCA24" w14:textId="77777777" w:rsidR="00816F7D" w:rsidRPr="0018624A" w:rsidRDefault="00816F7D" w:rsidP="00816F7D">
            <w:r w:rsidRPr="0018624A">
              <w:t>-8.815</w:t>
            </w:r>
          </w:p>
        </w:tc>
        <w:tc>
          <w:tcPr>
            <w:tcW w:w="1200" w:type="dxa"/>
            <w:vAlign w:val="center"/>
          </w:tcPr>
          <w:p w14:paraId="4D00A543" w14:textId="77777777" w:rsidR="00816F7D" w:rsidRPr="0018624A" w:rsidRDefault="00816F7D" w:rsidP="00816F7D">
            <w:r w:rsidRPr="0018624A">
              <w:t>1.698</w:t>
            </w:r>
          </w:p>
        </w:tc>
        <w:tc>
          <w:tcPr>
            <w:tcW w:w="600" w:type="dxa"/>
            <w:vAlign w:val="center"/>
          </w:tcPr>
          <w:p w14:paraId="2CD0E18B" w14:textId="77777777" w:rsidR="00816F7D" w:rsidRPr="0018624A" w:rsidRDefault="00816F7D" w:rsidP="00816F7D"/>
        </w:tc>
      </w:tr>
      <w:tr w:rsidR="00816F7D" w:rsidRPr="0018624A" w14:paraId="26ECCD04" w14:textId="77777777" w:rsidTr="00816F7D">
        <w:trPr>
          <w:gridAfter w:val="1"/>
          <w:wAfter w:w="29" w:type="dxa"/>
          <w:jc w:val="center"/>
        </w:trPr>
        <w:tc>
          <w:tcPr>
            <w:tcW w:w="1366" w:type="dxa"/>
            <w:vAlign w:val="center"/>
          </w:tcPr>
          <w:p w14:paraId="39E323F3" w14:textId="77777777" w:rsidR="00816F7D" w:rsidRPr="0018624A" w:rsidRDefault="00816F7D" w:rsidP="00816F7D">
            <w:r w:rsidRPr="0018624A">
              <w:t>Constant</w:t>
            </w:r>
          </w:p>
        </w:tc>
        <w:tc>
          <w:tcPr>
            <w:tcW w:w="1200" w:type="dxa"/>
            <w:gridSpan w:val="2"/>
            <w:vAlign w:val="center"/>
          </w:tcPr>
          <w:p w14:paraId="59E706F4" w14:textId="77777777" w:rsidR="00816F7D" w:rsidRPr="0018624A" w:rsidRDefault="00816F7D" w:rsidP="00816F7D">
            <w:r w:rsidRPr="0018624A">
              <w:t>-10.492</w:t>
            </w:r>
          </w:p>
        </w:tc>
        <w:tc>
          <w:tcPr>
            <w:tcW w:w="1200" w:type="dxa"/>
            <w:vAlign w:val="center"/>
          </w:tcPr>
          <w:p w14:paraId="0F02AB24" w14:textId="77777777" w:rsidR="00816F7D" w:rsidRPr="0018624A" w:rsidRDefault="00816F7D" w:rsidP="00816F7D">
            <w:r w:rsidRPr="0018624A">
              <w:t>7.846</w:t>
            </w:r>
          </w:p>
        </w:tc>
        <w:tc>
          <w:tcPr>
            <w:tcW w:w="850" w:type="dxa"/>
            <w:gridSpan w:val="2"/>
            <w:vAlign w:val="center"/>
          </w:tcPr>
          <w:p w14:paraId="746C3827" w14:textId="77777777" w:rsidR="00816F7D" w:rsidRPr="0018624A" w:rsidRDefault="00816F7D" w:rsidP="00816F7D">
            <w:r w:rsidRPr="0018624A">
              <w:t>-1.34</w:t>
            </w:r>
          </w:p>
        </w:tc>
        <w:tc>
          <w:tcPr>
            <w:tcW w:w="900" w:type="dxa"/>
            <w:vAlign w:val="center"/>
          </w:tcPr>
          <w:p w14:paraId="76B31338" w14:textId="77777777" w:rsidR="00816F7D" w:rsidRPr="0018624A" w:rsidRDefault="00816F7D" w:rsidP="00816F7D">
            <w:r w:rsidRPr="0018624A">
              <w:t>.201</w:t>
            </w:r>
          </w:p>
        </w:tc>
        <w:tc>
          <w:tcPr>
            <w:tcW w:w="1200" w:type="dxa"/>
            <w:gridSpan w:val="2"/>
            <w:vAlign w:val="center"/>
          </w:tcPr>
          <w:p w14:paraId="4EF550A4" w14:textId="77777777" w:rsidR="00816F7D" w:rsidRPr="0018624A" w:rsidRDefault="00816F7D" w:rsidP="00816F7D">
            <w:r w:rsidRPr="0018624A">
              <w:t>-27.215</w:t>
            </w:r>
          </w:p>
        </w:tc>
        <w:tc>
          <w:tcPr>
            <w:tcW w:w="1200" w:type="dxa"/>
            <w:vAlign w:val="center"/>
          </w:tcPr>
          <w:p w14:paraId="342382D0" w14:textId="77777777" w:rsidR="00816F7D" w:rsidRPr="0018624A" w:rsidRDefault="00816F7D" w:rsidP="00816F7D">
            <w:r w:rsidRPr="0018624A">
              <w:t>6.23</w:t>
            </w:r>
          </w:p>
        </w:tc>
        <w:tc>
          <w:tcPr>
            <w:tcW w:w="600" w:type="dxa"/>
            <w:vAlign w:val="center"/>
          </w:tcPr>
          <w:p w14:paraId="515E3A3B" w14:textId="77777777" w:rsidR="00816F7D" w:rsidRPr="0018624A" w:rsidRDefault="00816F7D" w:rsidP="00816F7D"/>
        </w:tc>
      </w:tr>
      <w:tr w:rsidR="00816F7D" w:rsidRPr="0018624A" w14:paraId="40E0529F" w14:textId="77777777" w:rsidTr="00816F7D">
        <w:trPr>
          <w:gridAfter w:val="1"/>
          <w:wAfter w:w="29" w:type="dxa"/>
          <w:jc w:val="center"/>
        </w:trPr>
        <w:tc>
          <w:tcPr>
            <w:tcW w:w="8516" w:type="dxa"/>
            <w:gridSpan w:val="11"/>
            <w:vAlign w:val="center"/>
          </w:tcPr>
          <w:p w14:paraId="6581D54A" w14:textId="77777777" w:rsidR="00816F7D" w:rsidRPr="0018624A" w:rsidRDefault="00816F7D" w:rsidP="00816F7D"/>
        </w:tc>
      </w:tr>
      <w:tr w:rsidR="00816F7D" w:rsidRPr="0018624A" w14:paraId="00DB060C" w14:textId="77777777" w:rsidTr="00816F7D">
        <w:trPr>
          <w:jc w:val="center"/>
        </w:trPr>
        <w:tc>
          <w:tcPr>
            <w:tcW w:w="2066" w:type="dxa"/>
            <w:gridSpan w:val="2"/>
            <w:vAlign w:val="center"/>
          </w:tcPr>
          <w:p w14:paraId="78CE7653" w14:textId="77777777" w:rsidR="00816F7D" w:rsidRPr="0018624A" w:rsidRDefault="00816F7D" w:rsidP="00816F7D">
            <w:r w:rsidRPr="0018624A">
              <w:t>Mean dependent var</w:t>
            </w:r>
          </w:p>
        </w:tc>
        <w:tc>
          <w:tcPr>
            <w:tcW w:w="1750" w:type="dxa"/>
            <w:gridSpan w:val="3"/>
            <w:vAlign w:val="center"/>
          </w:tcPr>
          <w:p w14:paraId="239E42D1" w14:textId="77777777" w:rsidR="00816F7D" w:rsidRPr="0018624A" w:rsidRDefault="00816F7D" w:rsidP="00816F7D">
            <w:r w:rsidRPr="0018624A">
              <w:t>1.893</w:t>
            </w:r>
          </w:p>
        </w:tc>
        <w:tc>
          <w:tcPr>
            <w:tcW w:w="2300" w:type="dxa"/>
            <w:gridSpan w:val="3"/>
            <w:vAlign w:val="center"/>
          </w:tcPr>
          <w:p w14:paraId="09761EBA" w14:textId="77777777" w:rsidR="00816F7D" w:rsidRPr="0018624A" w:rsidRDefault="00816F7D" w:rsidP="00816F7D">
            <w:r w:rsidRPr="0018624A">
              <w:t>SD dependent var</w:t>
            </w:r>
          </w:p>
        </w:tc>
        <w:tc>
          <w:tcPr>
            <w:tcW w:w="2429" w:type="dxa"/>
            <w:gridSpan w:val="4"/>
            <w:vAlign w:val="center"/>
          </w:tcPr>
          <w:p w14:paraId="13856E09" w14:textId="77777777" w:rsidR="00816F7D" w:rsidRPr="0018624A" w:rsidRDefault="00816F7D" w:rsidP="00816F7D">
            <w:r w:rsidRPr="0018624A">
              <w:t>0.746</w:t>
            </w:r>
          </w:p>
        </w:tc>
      </w:tr>
      <w:tr w:rsidR="00816F7D" w:rsidRPr="0018624A" w14:paraId="112C40A4" w14:textId="77777777" w:rsidTr="00816F7D">
        <w:trPr>
          <w:jc w:val="center"/>
        </w:trPr>
        <w:tc>
          <w:tcPr>
            <w:tcW w:w="2066" w:type="dxa"/>
            <w:gridSpan w:val="2"/>
            <w:vAlign w:val="center"/>
          </w:tcPr>
          <w:p w14:paraId="6D83A55E" w14:textId="77777777" w:rsidR="00816F7D" w:rsidRPr="0018624A" w:rsidRDefault="00816F7D" w:rsidP="00816F7D">
            <w:r w:rsidRPr="0018624A">
              <w:t>R-squared</w:t>
            </w:r>
          </w:p>
        </w:tc>
        <w:tc>
          <w:tcPr>
            <w:tcW w:w="1750" w:type="dxa"/>
            <w:gridSpan w:val="3"/>
            <w:vAlign w:val="center"/>
          </w:tcPr>
          <w:p w14:paraId="6E6BEB07" w14:textId="77777777" w:rsidR="00816F7D" w:rsidRPr="0018624A" w:rsidRDefault="00816F7D" w:rsidP="00816F7D">
            <w:r w:rsidRPr="0018624A">
              <w:t>0.595</w:t>
            </w:r>
          </w:p>
        </w:tc>
        <w:tc>
          <w:tcPr>
            <w:tcW w:w="2300" w:type="dxa"/>
            <w:gridSpan w:val="3"/>
            <w:vAlign w:val="center"/>
          </w:tcPr>
          <w:p w14:paraId="3D2455DE" w14:textId="77777777" w:rsidR="00816F7D" w:rsidRPr="0018624A" w:rsidRDefault="00816F7D" w:rsidP="00816F7D">
            <w:r w:rsidRPr="0018624A">
              <w:t>Number of obs</w:t>
            </w:r>
          </w:p>
        </w:tc>
        <w:tc>
          <w:tcPr>
            <w:tcW w:w="2429" w:type="dxa"/>
            <w:gridSpan w:val="4"/>
            <w:vAlign w:val="center"/>
          </w:tcPr>
          <w:p w14:paraId="35FEF5E6" w14:textId="77777777" w:rsidR="00816F7D" w:rsidRPr="0018624A" w:rsidRDefault="00816F7D" w:rsidP="00816F7D">
            <w:r w:rsidRPr="0018624A">
              <w:t>23.000</w:t>
            </w:r>
          </w:p>
        </w:tc>
      </w:tr>
      <w:tr w:rsidR="00816F7D" w:rsidRPr="0018624A" w14:paraId="6EE077AE" w14:textId="77777777" w:rsidTr="00816F7D">
        <w:trPr>
          <w:jc w:val="center"/>
        </w:trPr>
        <w:tc>
          <w:tcPr>
            <w:tcW w:w="2066" w:type="dxa"/>
            <w:gridSpan w:val="2"/>
            <w:vAlign w:val="center"/>
          </w:tcPr>
          <w:p w14:paraId="69B87D03" w14:textId="77777777" w:rsidR="00816F7D" w:rsidRPr="0018624A" w:rsidRDefault="00816F7D" w:rsidP="00816F7D">
            <w:r w:rsidRPr="0018624A">
              <w:t>F-test</w:t>
            </w:r>
          </w:p>
        </w:tc>
        <w:tc>
          <w:tcPr>
            <w:tcW w:w="1750" w:type="dxa"/>
            <w:gridSpan w:val="3"/>
            <w:vAlign w:val="center"/>
          </w:tcPr>
          <w:p w14:paraId="65A0C716" w14:textId="77777777" w:rsidR="00816F7D" w:rsidRPr="0018624A" w:rsidRDefault="00816F7D" w:rsidP="00816F7D">
            <w:r w:rsidRPr="0018624A">
              <w:t>4.407</w:t>
            </w:r>
          </w:p>
        </w:tc>
        <w:tc>
          <w:tcPr>
            <w:tcW w:w="2300" w:type="dxa"/>
            <w:gridSpan w:val="3"/>
            <w:vAlign w:val="center"/>
          </w:tcPr>
          <w:p w14:paraId="64027F84" w14:textId="77777777" w:rsidR="00816F7D" w:rsidRPr="0018624A" w:rsidRDefault="00816F7D" w:rsidP="00816F7D">
            <w:r w:rsidRPr="0018624A">
              <w:t>Prob &gt; F</w:t>
            </w:r>
          </w:p>
        </w:tc>
        <w:tc>
          <w:tcPr>
            <w:tcW w:w="2429" w:type="dxa"/>
            <w:gridSpan w:val="4"/>
            <w:vAlign w:val="center"/>
          </w:tcPr>
          <w:p w14:paraId="4EE2D3B4" w14:textId="77777777" w:rsidR="00816F7D" w:rsidRPr="0018624A" w:rsidRDefault="00816F7D" w:rsidP="00816F7D">
            <w:r w:rsidRPr="0018624A">
              <w:t>0.008</w:t>
            </w:r>
          </w:p>
        </w:tc>
      </w:tr>
      <w:tr w:rsidR="00816F7D" w:rsidRPr="0018624A" w14:paraId="4E758EE2" w14:textId="77777777" w:rsidTr="00816F7D">
        <w:trPr>
          <w:jc w:val="center"/>
        </w:trPr>
        <w:tc>
          <w:tcPr>
            <w:tcW w:w="2066" w:type="dxa"/>
            <w:gridSpan w:val="2"/>
            <w:vAlign w:val="center"/>
          </w:tcPr>
          <w:p w14:paraId="345C3F81" w14:textId="77777777" w:rsidR="00816F7D" w:rsidRPr="0018624A" w:rsidRDefault="00816F7D" w:rsidP="00816F7D">
            <w:r w:rsidRPr="0018624A">
              <w:t>Akaike crit. (AIC)</w:t>
            </w:r>
          </w:p>
        </w:tc>
        <w:tc>
          <w:tcPr>
            <w:tcW w:w="1750" w:type="dxa"/>
            <w:gridSpan w:val="3"/>
            <w:vAlign w:val="center"/>
          </w:tcPr>
          <w:p w14:paraId="51FD03EA" w14:textId="77777777" w:rsidR="00816F7D" w:rsidRPr="0018624A" w:rsidRDefault="00816F7D" w:rsidP="00816F7D">
            <w:r w:rsidRPr="0018624A">
              <w:t>26.973</w:t>
            </w:r>
          </w:p>
        </w:tc>
        <w:tc>
          <w:tcPr>
            <w:tcW w:w="2300" w:type="dxa"/>
            <w:gridSpan w:val="3"/>
            <w:vAlign w:val="center"/>
          </w:tcPr>
          <w:p w14:paraId="728C0FDB" w14:textId="77777777" w:rsidR="00816F7D" w:rsidRPr="0018624A" w:rsidRDefault="00816F7D" w:rsidP="00816F7D">
            <w:r w:rsidRPr="0018624A">
              <w:t>Bayesian crit. (BIC)</w:t>
            </w:r>
          </w:p>
        </w:tc>
        <w:tc>
          <w:tcPr>
            <w:tcW w:w="2429" w:type="dxa"/>
            <w:gridSpan w:val="4"/>
            <w:vAlign w:val="center"/>
          </w:tcPr>
          <w:p w14:paraId="02493B53" w14:textId="77777777" w:rsidR="00816F7D" w:rsidRPr="0018624A" w:rsidRDefault="00816F7D" w:rsidP="00816F7D">
            <w:r w:rsidRPr="0018624A">
              <w:t>33.786</w:t>
            </w:r>
          </w:p>
        </w:tc>
      </w:tr>
      <w:tr w:rsidR="00816F7D" w:rsidRPr="0018624A" w14:paraId="3EC3F2C1" w14:textId="77777777" w:rsidTr="00816F7D">
        <w:trPr>
          <w:gridAfter w:val="1"/>
          <w:wAfter w:w="29" w:type="dxa"/>
          <w:jc w:val="center"/>
        </w:trPr>
        <w:tc>
          <w:tcPr>
            <w:tcW w:w="8516" w:type="dxa"/>
            <w:gridSpan w:val="11"/>
            <w:vAlign w:val="center"/>
          </w:tcPr>
          <w:p w14:paraId="0EF742A2" w14:textId="77777777" w:rsidR="00816F7D" w:rsidRPr="0018624A" w:rsidRDefault="00816F7D" w:rsidP="00816F7D">
            <w:r w:rsidRPr="0018624A">
              <w:rPr>
                <w:i/>
                <w:iCs/>
              </w:rPr>
              <w:t>*** p&lt;.01, ** p&lt;.05, * p&lt;.1</w:t>
            </w:r>
          </w:p>
        </w:tc>
      </w:tr>
    </w:tbl>
    <w:p w14:paraId="15FDFF54" w14:textId="4C38F1C9" w:rsidR="00816F7D" w:rsidRDefault="00816F7D" w:rsidP="00816F7D">
      <w:pPr>
        <w:pStyle w:val="ListParagraph"/>
        <w:rPr>
          <w:b/>
          <w:bCs/>
        </w:rPr>
      </w:pPr>
    </w:p>
    <w:p w14:paraId="3FA095AB" w14:textId="0E9A9F4F" w:rsidR="00816F7D" w:rsidRDefault="00816F7D" w:rsidP="00816F7D">
      <w:pPr>
        <w:pStyle w:val="ListParagraph"/>
        <w:rPr>
          <w:b/>
          <w:bCs/>
        </w:rPr>
      </w:pPr>
    </w:p>
    <w:p w14:paraId="5CDE5989" w14:textId="591DD3AE" w:rsidR="00816F7D" w:rsidRDefault="00816F7D" w:rsidP="00816F7D">
      <w:pPr>
        <w:pStyle w:val="ListParagraph"/>
        <w:rPr>
          <w:b/>
          <w:bCs/>
        </w:rPr>
      </w:pPr>
    </w:p>
    <w:p w14:paraId="684E9E2A" w14:textId="2B1696F0" w:rsidR="00816F7D" w:rsidRDefault="00816F7D" w:rsidP="00816F7D">
      <w:pPr>
        <w:pStyle w:val="ListParagraph"/>
        <w:rPr>
          <w:b/>
          <w:bCs/>
        </w:rPr>
      </w:pPr>
    </w:p>
    <w:p w14:paraId="1CA93B53" w14:textId="2355933B" w:rsidR="00816F7D" w:rsidRDefault="00816F7D" w:rsidP="00816F7D">
      <w:pPr>
        <w:pStyle w:val="ListParagraph"/>
        <w:rPr>
          <w:b/>
          <w:bCs/>
        </w:rPr>
      </w:pPr>
    </w:p>
    <w:p w14:paraId="24FDFB21" w14:textId="3E97D969" w:rsidR="00816F7D" w:rsidRDefault="00816F7D" w:rsidP="00816F7D">
      <w:pPr>
        <w:pStyle w:val="ListParagraph"/>
        <w:rPr>
          <w:b/>
          <w:bCs/>
        </w:rPr>
      </w:pPr>
    </w:p>
    <w:p w14:paraId="627C625D" w14:textId="58D68617" w:rsidR="00816F7D" w:rsidRDefault="00816F7D" w:rsidP="00816F7D">
      <w:pPr>
        <w:pStyle w:val="ListParagraph"/>
        <w:rPr>
          <w:b/>
          <w:bCs/>
        </w:rPr>
      </w:pPr>
    </w:p>
    <w:p w14:paraId="38E3074F" w14:textId="789C2B33" w:rsidR="00816F7D" w:rsidRDefault="00816F7D" w:rsidP="00816F7D">
      <w:pPr>
        <w:pStyle w:val="ListParagraph"/>
        <w:rPr>
          <w:b/>
          <w:bCs/>
        </w:rPr>
      </w:pPr>
    </w:p>
    <w:p w14:paraId="1A324B00" w14:textId="77777777" w:rsidR="00816F7D" w:rsidRDefault="00816F7D" w:rsidP="00816F7D">
      <w:pPr>
        <w:pStyle w:val="ListParagraph"/>
        <w:rPr>
          <w:b/>
          <w:bCs/>
        </w:rPr>
      </w:pPr>
    </w:p>
    <w:p w14:paraId="7E44AEE6" w14:textId="3F78BD2B" w:rsidR="00816F7D" w:rsidRPr="00816F7D" w:rsidRDefault="00816F7D" w:rsidP="00816F7D">
      <w:pPr>
        <w:pStyle w:val="ListParagraph"/>
        <w:numPr>
          <w:ilvl w:val="0"/>
          <w:numId w:val="50"/>
        </w:numPr>
        <w:rPr>
          <w:b/>
          <w:bCs/>
        </w:rPr>
      </w:pPr>
      <w:r w:rsidRPr="00816F7D">
        <w:rPr>
          <w:b/>
          <w:bCs/>
        </w:rPr>
        <w:t>Islamic Banks</w:t>
      </w:r>
    </w:p>
    <w:p w14:paraId="2BF6B720" w14:textId="77777777" w:rsidR="00816F7D" w:rsidRPr="00816F7D" w:rsidRDefault="00816F7D" w:rsidP="00816F7D">
      <w:pPr>
        <w:rPr>
          <w:b/>
          <w:bCs/>
          <w:i/>
          <w:iCs/>
          <w:u w:val="single"/>
        </w:rPr>
      </w:pPr>
      <w:r w:rsidRPr="00816F7D">
        <w:rPr>
          <w:b/>
          <w:bCs/>
          <w:i/>
          <w:iCs/>
          <w:u w:val="single"/>
        </w:rPr>
        <w:t xml:space="preserve">Fixed effect Regression results </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700"/>
        <w:gridCol w:w="500"/>
        <w:gridCol w:w="1200"/>
        <w:gridCol w:w="50"/>
        <w:gridCol w:w="800"/>
        <w:gridCol w:w="900"/>
        <w:gridCol w:w="600"/>
        <w:gridCol w:w="600"/>
        <w:gridCol w:w="1200"/>
        <w:gridCol w:w="585"/>
        <w:gridCol w:w="15"/>
      </w:tblGrid>
      <w:tr w:rsidR="00816F7D" w:rsidRPr="0018624A" w14:paraId="7672079B" w14:textId="77777777" w:rsidTr="0076766C">
        <w:trPr>
          <w:jc w:val="center"/>
        </w:trPr>
        <w:tc>
          <w:tcPr>
            <w:tcW w:w="1320" w:type="dxa"/>
            <w:vAlign w:val="center"/>
          </w:tcPr>
          <w:p w14:paraId="32DC0CFC" w14:textId="77777777" w:rsidR="00816F7D" w:rsidRPr="0018624A" w:rsidRDefault="00816F7D" w:rsidP="00816F7D">
            <w:r w:rsidRPr="0018624A">
              <w:t>LR</w:t>
            </w:r>
          </w:p>
        </w:tc>
        <w:tc>
          <w:tcPr>
            <w:tcW w:w="1200" w:type="dxa"/>
            <w:gridSpan w:val="2"/>
            <w:vAlign w:val="center"/>
          </w:tcPr>
          <w:p w14:paraId="3EEAE887" w14:textId="77777777" w:rsidR="00816F7D" w:rsidRPr="0018624A" w:rsidRDefault="00816F7D" w:rsidP="00816F7D">
            <w:r w:rsidRPr="0018624A">
              <w:t>Coef.</w:t>
            </w:r>
          </w:p>
        </w:tc>
        <w:tc>
          <w:tcPr>
            <w:tcW w:w="1200" w:type="dxa"/>
            <w:vAlign w:val="center"/>
          </w:tcPr>
          <w:p w14:paraId="54E759BC" w14:textId="77777777" w:rsidR="00816F7D" w:rsidRPr="0018624A" w:rsidRDefault="00816F7D" w:rsidP="00816F7D">
            <w:r w:rsidRPr="0018624A">
              <w:t>St.Err.</w:t>
            </w:r>
          </w:p>
        </w:tc>
        <w:tc>
          <w:tcPr>
            <w:tcW w:w="850" w:type="dxa"/>
            <w:gridSpan w:val="2"/>
            <w:vAlign w:val="center"/>
          </w:tcPr>
          <w:p w14:paraId="4A6A6134" w14:textId="77777777" w:rsidR="00816F7D" w:rsidRPr="0018624A" w:rsidRDefault="00816F7D" w:rsidP="00816F7D">
            <w:r w:rsidRPr="0018624A">
              <w:t>t-value</w:t>
            </w:r>
          </w:p>
        </w:tc>
        <w:tc>
          <w:tcPr>
            <w:tcW w:w="900" w:type="dxa"/>
            <w:vAlign w:val="center"/>
          </w:tcPr>
          <w:p w14:paraId="6E1FF4E9" w14:textId="77777777" w:rsidR="00816F7D" w:rsidRPr="0018624A" w:rsidRDefault="00816F7D" w:rsidP="00816F7D">
            <w:r w:rsidRPr="0018624A">
              <w:t>p-value</w:t>
            </w:r>
          </w:p>
        </w:tc>
        <w:tc>
          <w:tcPr>
            <w:tcW w:w="1200" w:type="dxa"/>
            <w:gridSpan w:val="2"/>
            <w:vAlign w:val="center"/>
          </w:tcPr>
          <w:p w14:paraId="5B03737F" w14:textId="77777777" w:rsidR="00816F7D" w:rsidRPr="0018624A" w:rsidRDefault="00816F7D" w:rsidP="00816F7D">
            <w:r w:rsidRPr="0018624A">
              <w:t>[95% Conf</w:t>
            </w:r>
          </w:p>
        </w:tc>
        <w:tc>
          <w:tcPr>
            <w:tcW w:w="1200" w:type="dxa"/>
            <w:vAlign w:val="center"/>
          </w:tcPr>
          <w:p w14:paraId="2E72BBDC" w14:textId="77777777" w:rsidR="00816F7D" w:rsidRPr="0018624A" w:rsidRDefault="00816F7D" w:rsidP="00816F7D">
            <w:r w:rsidRPr="0018624A">
              <w:t>Interval]</w:t>
            </w:r>
          </w:p>
        </w:tc>
        <w:tc>
          <w:tcPr>
            <w:tcW w:w="600" w:type="dxa"/>
            <w:gridSpan w:val="2"/>
            <w:vAlign w:val="center"/>
          </w:tcPr>
          <w:p w14:paraId="029DAFE8" w14:textId="77777777" w:rsidR="00816F7D" w:rsidRPr="0018624A" w:rsidRDefault="00816F7D" w:rsidP="00816F7D">
            <w:r w:rsidRPr="0018624A">
              <w:t>Sig</w:t>
            </w:r>
          </w:p>
        </w:tc>
      </w:tr>
      <w:tr w:rsidR="00816F7D" w:rsidRPr="0018624A" w14:paraId="4F19AFA4" w14:textId="77777777" w:rsidTr="0076766C">
        <w:trPr>
          <w:jc w:val="center"/>
        </w:trPr>
        <w:tc>
          <w:tcPr>
            <w:tcW w:w="1320" w:type="dxa"/>
            <w:vAlign w:val="center"/>
          </w:tcPr>
          <w:p w14:paraId="0F9ACB96" w14:textId="77777777" w:rsidR="00816F7D" w:rsidRPr="0018624A" w:rsidRDefault="00816F7D" w:rsidP="00816F7D">
            <w:r w:rsidRPr="0018624A">
              <w:t>DA</w:t>
            </w:r>
          </w:p>
        </w:tc>
        <w:tc>
          <w:tcPr>
            <w:tcW w:w="1200" w:type="dxa"/>
            <w:gridSpan w:val="2"/>
            <w:vAlign w:val="center"/>
          </w:tcPr>
          <w:p w14:paraId="4080F0DD" w14:textId="77777777" w:rsidR="00816F7D" w:rsidRPr="0018624A" w:rsidRDefault="00816F7D" w:rsidP="00816F7D">
            <w:r w:rsidRPr="0018624A">
              <w:t>.463</w:t>
            </w:r>
          </w:p>
        </w:tc>
        <w:tc>
          <w:tcPr>
            <w:tcW w:w="1200" w:type="dxa"/>
            <w:vAlign w:val="center"/>
          </w:tcPr>
          <w:p w14:paraId="2DA5310B" w14:textId="77777777" w:rsidR="00816F7D" w:rsidRPr="0018624A" w:rsidRDefault="00816F7D" w:rsidP="00816F7D">
            <w:r w:rsidRPr="0018624A">
              <w:t>.885</w:t>
            </w:r>
          </w:p>
        </w:tc>
        <w:tc>
          <w:tcPr>
            <w:tcW w:w="850" w:type="dxa"/>
            <w:gridSpan w:val="2"/>
            <w:vAlign w:val="center"/>
          </w:tcPr>
          <w:p w14:paraId="355735E8" w14:textId="77777777" w:rsidR="00816F7D" w:rsidRPr="0018624A" w:rsidRDefault="00816F7D" w:rsidP="00816F7D">
            <w:r w:rsidRPr="0018624A">
              <w:t>0.52</w:t>
            </w:r>
          </w:p>
        </w:tc>
        <w:tc>
          <w:tcPr>
            <w:tcW w:w="900" w:type="dxa"/>
            <w:vAlign w:val="center"/>
          </w:tcPr>
          <w:p w14:paraId="6DBBE6FC" w14:textId="77777777" w:rsidR="00816F7D" w:rsidRPr="0018624A" w:rsidRDefault="00816F7D" w:rsidP="00816F7D">
            <w:r w:rsidRPr="0018624A">
              <w:t>.602</w:t>
            </w:r>
          </w:p>
        </w:tc>
        <w:tc>
          <w:tcPr>
            <w:tcW w:w="1200" w:type="dxa"/>
            <w:gridSpan w:val="2"/>
            <w:vAlign w:val="center"/>
          </w:tcPr>
          <w:p w14:paraId="5C994C5A" w14:textId="77777777" w:rsidR="00816F7D" w:rsidRPr="0018624A" w:rsidRDefault="00816F7D" w:rsidP="00816F7D">
            <w:r w:rsidRPr="0018624A">
              <w:t>-1.292</w:t>
            </w:r>
          </w:p>
        </w:tc>
        <w:tc>
          <w:tcPr>
            <w:tcW w:w="1200" w:type="dxa"/>
            <w:vAlign w:val="center"/>
          </w:tcPr>
          <w:p w14:paraId="00130DD0" w14:textId="77777777" w:rsidR="00816F7D" w:rsidRPr="0018624A" w:rsidRDefault="00816F7D" w:rsidP="00816F7D">
            <w:r w:rsidRPr="0018624A">
              <w:t>2.219</w:t>
            </w:r>
          </w:p>
        </w:tc>
        <w:tc>
          <w:tcPr>
            <w:tcW w:w="600" w:type="dxa"/>
            <w:gridSpan w:val="2"/>
            <w:vAlign w:val="center"/>
          </w:tcPr>
          <w:p w14:paraId="7605945D" w14:textId="77777777" w:rsidR="00816F7D" w:rsidRPr="0018624A" w:rsidRDefault="00816F7D" w:rsidP="00816F7D"/>
        </w:tc>
      </w:tr>
      <w:tr w:rsidR="00816F7D" w:rsidRPr="0018624A" w14:paraId="69C460A3" w14:textId="77777777" w:rsidTr="0076766C">
        <w:trPr>
          <w:jc w:val="center"/>
        </w:trPr>
        <w:tc>
          <w:tcPr>
            <w:tcW w:w="1320" w:type="dxa"/>
            <w:vAlign w:val="center"/>
          </w:tcPr>
          <w:p w14:paraId="277417CC" w14:textId="77777777" w:rsidR="00816F7D" w:rsidRPr="0018624A" w:rsidRDefault="00816F7D" w:rsidP="00816F7D">
            <w:r w:rsidRPr="0018624A">
              <w:t>CR</w:t>
            </w:r>
          </w:p>
        </w:tc>
        <w:tc>
          <w:tcPr>
            <w:tcW w:w="1200" w:type="dxa"/>
            <w:gridSpan w:val="2"/>
            <w:vAlign w:val="center"/>
          </w:tcPr>
          <w:p w14:paraId="2BC1B232" w14:textId="77777777" w:rsidR="00816F7D" w:rsidRPr="0018624A" w:rsidRDefault="00816F7D" w:rsidP="00816F7D">
            <w:r w:rsidRPr="0018624A">
              <w:t>1.123</w:t>
            </w:r>
          </w:p>
        </w:tc>
        <w:tc>
          <w:tcPr>
            <w:tcW w:w="1200" w:type="dxa"/>
            <w:vAlign w:val="center"/>
          </w:tcPr>
          <w:p w14:paraId="40DDEDC6" w14:textId="77777777" w:rsidR="00816F7D" w:rsidRPr="0018624A" w:rsidRDefault="00816F7D" w:rsidP="00816F7D">
            <w:r w:rsidRPr="0018624A">
              <w:t>1.843</w:t>
            </w:r>
          </w:p>
        </w:tc>
        <w:tc>
          <w:tcPr>
            <w:tcW w:w="850" w:type="dxa"/>
            <w:gridSpan w:val="2"/>
            <w:vAlign w:val="center"/>
          </w:tcPr>
          <w:p w14:paraId="1CF794F5" w14:textId="77777777" w:rsidR="00816F7D" w:rsidRPr="0018624A" w:rsidRDefault="00816F7D" w:rsidP="00816F7D">
            <w:r w:rsidRPr="0018624A">
              <w:t>0.61</w:t>
            </w:r>
          </w:p>
        </w:tc>
        <w:tc>
          <w:tcPr>
            <w:tcW w:w="900" w:type="dxa"/>
            <w:vAlign w:val="center"/>
          </w:tcPr>
          <w:p w14:paraId="611A2E2E" w14:textId="77777777" w:rsidR="00816F7D" w:rsidRPr="0018624A" w:rsidRDefault="00816F7D" w:rsidP="00816F7D">
            <w:r w:rsidRPr="0018624A">
              <w:t>.544</w:t>
            </w:r>
          </w:p>
        </w:tc>
        <w:tc>
          <w:tcPr>
            <w:tcW w:w="1200" w:type="dxa"/>
            <w:gridSpan w:val="2"/>
            <w:vAlign w:val="center"/>
          </w:tcPr>
          <w:p w14:paraId="446A76DF" w14:textId="77777777" w:rsidR="00816F7D" w:rsidRPr="0018624A" w:rsidRDefault="00816F7D" w:rsidP="00816F7D">
            <w:r w:rsidRPr="0018624A">
              <w:t>-2.533</w:t>
            </w:r>
          </w:p>
        </w:tc>
        <w:tc>
          <w:tcPr>
            <w:tcW w:w="1200" w:type="dxa"/>
            <w:vAlign w:val="center"/>
          </w:tcPr>
          <w:p w14:paraId="435F32E3" w14:textId="77777777" w:rsidR="00816F7D" w:rsidRPr="0018624A" w:rsidRDefault="00816F7D" w:rsidP="00816F7D">
            <w:r w:rsidRPr="0018624A">
              <w:t>4.779</w:t>
            </w:r>
          </w:p>
        </w:tc>
        <w:tc>
          <w:tcPr>
            <w:tcW w:w="600" w:type="dxa"/>
            <w:gridSpan w:val="2"/>
            <w:vAlign w:val="center"/>
          </w:tcPr>
          <w:p w14:paraId="362FFB31" w14:textId="77777777" w:rsidR="00816F7D" w:rsidRPr="0018624A" w:rsidRDefault="00816F7D" w:rsidP="00816F7D"/>
        </w:tc>
      </w:tr>
      <w:tr w:rsidR="00816F7D" w:rsidRPr="0018624A" w14:paraId="126EE4C2" w14:textId="77777777" w:rsidTr="0076766C">
        <w:trPr>
          <w:jc w:val="center"/>
        </w:trPr>
        <w:tc>
          <w:tcPr>
            <w:tcW w:w="1320" w:type="dxa"/>
            <w:vAlign w:val="center"/>
          </w:tcPr>
          <w:p w14:paraId="2DBC4540" w14:textId="77777777" w:rsidR="00816F7D" w:rsidRPr="0018624A" w:rsidRDefault="00816F7D" w:rsidP="00816F7D">
            <w:r w:rsidRPr="0018624A">
              <w:t>ROE</w:t>
            </w:r>
          </w:p>
        </w:tc>
        <w:tc>
          <w:tcPr>
            <w:tcW w:w="1200" w:type="dxa"/>
            <w:gridSpan w:val="2"/>
            <w:vAlign w:val="center"/>
          </w:tcPr>
          <w:p w14:paraId="2AB981A4" w14:textId="77777777" w:rsidR="00816F7D" w:rsidRPr="0018624A" w:rsidRDefault="00816F7D" w:rsidP="00816F7D">
            <w:r w:rsidRPr="0018624A">
              <w:t>.43</w:t>
            </w:r>
          </w:p>
        </w:tc>
        <w:tc>
          <w:tcPr>
            <w:tcW w:w="1200" w:type="dxa"/>
            <w:vAlign w:val="center"/>
          </w:tcPr>
          <w:p w14:paraId="29AF3ECE" w14:textId="77777777" w:rsidR="00816F7D" w:rsidRPr="0018624A" w:rsidRDefault="00816F7D" w:rsidP="00816F7D">
            <w:r w:rsidRPr="0018624A">
              <w:t>1.41</w:t>
            </w:r>
          </w:p>
        </w:tc>
        <w:tc>
          <w:tcPr>
            <w:tcW w:w="850" w:type="dxa"/>
            <w:gridSpan w:val="2"/>
            <w:vAlign w:val="center"/>
          </w:tcPr>
          <w:p w14:paraId="43093097" w14:textId="77777777" w:rsidR="00816F7D" w:rsidRPr="0018624A" w:rsidRDefault="00816F7D" w:rsidP="00816F7D">
            <w:r w:rsidRPr="0018624A">
              <w:t>0.30</w:t>
            </w:r>
          </w:p>
        </w:tc>
        <w:tc>
          <w:tcPr>
            <w:tcW w:w="900" w:type="dxa"/>
            <w:vAlign w:val="center"/>
          </w:tcPr>
          <w:p w14:paraId="5299DCD5" w14:textId="77777777" w:rsidR="00816F7D" w:rsidRPr="0018624A" w:rsidRDefault="00816F7D" w:rsidP="00816F7D">
            <w:r w:rsidRPr="0018624A">
              <w:t>.761</w:t>
            </w:r>
          </w:p>
        </w:tc>
        <w:tc>
          <w:tcPr>
            <w:tcW w:w="1200" w:type="dxa"/>
            <w:gridSpan w:val="2"/>
            <w:vAlign w:val="center"/>
          </w:tcPr>
          <w:p w14:paraId="73B9B842" w14:textId="77777777" w:rsidR="00816F7D" w:rsidRPr="0018624A" w:rsidRDefault="00816F7D" w:rsidP="00816F7D">
            <w:r w:rsidRPr="0018624A">
              <w:t>-2.368</w:t>
            </w:r>
          </w:p>
        </w:tc>
        <w:tc>
          <w:tcPr>
            <w:tcW w:w="1200" w:type="dxa"/>
            <w:vAlign w:val="center"/>
          </w:tcPr>
          <w:p w14:paraId="36DEB6DC" w14:textId="77777777" w:rsidR="00816F7D" w:rsidRPr="0018624A" w:rsidRDefault="00816F7D" w:rsidP="00816F7D">
            <w:r w:rsidRPr="0018624A">
              <w:t>3.227</w:t>
            </w:r>
          </w:p>
        </w:tc>
        <w:tc>
          <w:tcPr>
            <w:tcW w:w="600" w:type="dxa"/>
            <w:gridSpan w:val="2"/>
            <w:vAlign w:val="center"/>
          </w:tcPr>
          <w:p w14:paraId="1919EB91" w14:textId="77777777" w:rsidR="00816F7D" w:rsidRPr="0018624A" w:rsidRDefault="00816F7D" w:rsidP="00816F7D"/>
        </w:tc>
      </w:tr>
      <w:tr w:rsidR="00816F7D" w:rsidRPr="0018624A" w14:paraId="74694278" w14:textId="77777777" w:rsidTr="0076766C">
        <w:trPr>
          <w:jc w:val="center"/>
        </w:trPr>
        <w:tc>
          <w:tcPr>
            <w:tcW w:w="1320" w:type="dxa"/>
            <w:vAlign w:val="center"/>
          </w:tcPr>
          <w:p w14:paraId="434A9A1A" w14:textId="77777777" w:rsidR="00816F7D" w:rsidRPr="0018624A" w:rsidRDefault="00816F7D" w:rsidP="00816F7D">
            <w:r w:rsidRPr="0018624A">
              <w:t>BS</w:t>
            </w:r>
          </w:p>
        </w:tc>
        <w:tc>
          <w:tcPr>
            <w:tcW w:w="1200" w:type="dxa"/>
            <w:gridSpan w:val="2"/>
            <w:vAlign w:val="center"/>
          </w:tcPr>
          <w:p w14:paraId="2006B70E" w14:textId="77777777" w:rsidR="00816F7D" w:rsidRPr="0018624A" w:rsidRDefault="00816F7D" w:rsidP="00816F7D">
            <w:r w:rsidRPr="0018624A">
              <w:t>.64</w:t>
            </w:r>
          </w:p>
        </w:tc>
        <w:tc>
          <w:tcPr>
            <w:tcW w:w="1200" w:type="dxa"/>
            <w:vAlign w:val="center"/>
          </w:tcPr>
          <w:p w14:paraId="3CA9653C" w14:textId="77777777" w:rsidR="00816F7D" w:rsidRPr="0018624A" w:rsidRDefault="00816F7D" w:rsidP="00816F7D">
            <w:r w:rsidRPr="0018624A">
              <w:t>.249</w:t>
            </w:r>
          </w:p>
        </w:tc>
        <w:tc>
          <w:tcPr>
            <w:tcW w:w="850" w:type="dxa"/>
            <w:gridSpan w:val="2"/>
            <w:vAlign w:val="center"/>
          </w:tcPr>
          <w:p w14:paraId="499D7DC5" w14:textId="77777777" w:rsidR="00816F7D" w:rsidRPr="0018624A" w:rsidRDefault="00816F7D" w:rsidP="00816F7D">
            <w:r w:rsidRPr="0018624A">
              <w:t>2.57</w:t>
            </w:r>
          </w:p>
        </w:tc>
        <w:tc>
          <w:tcPr>
            <w:tcW w:w="900" w:type="dxa"/>
            <w:vAlign w:val="center"/>
          </w:tcPr>
          <w:p w14:paraId="39EED9A4" w14:textId="77777777" w:rsidR="00816F7D" w:rsidRPr="0018624A" w:rsidRDefault="00816F7D" w:rsidP="00816F7D">
            <w:r w:rsidRPr="0018624A">
              <w:t>.012</w:t>
            </w:r>
          </w:p>
        </w:tc>
        <w:tc>
          <w:tcPr>
            <w:tcW w:w="1200" w:type="dxa"/>
            <w:gridSpan w:val="2"/>
            <w:vAlign w:val="center"/>
          </w:tcPr>
          <w:p w14:paraId="1B2031B6" w14:textId="77777777" w:rsidR="00816F7D" w:rsidRPr="0018624A" w:rsidRDefault="00816F7D" w:rsidP="00816F7D">
            <w:r w:rsidRPr="0018624A">
              <w:t>.146</w:t>
            </w:r>
          </w:p>
        </w:tc>
        <w:tc>
          <w:tcPr>
            <w:tcW w:w="1200" w:type="dxa"/>
            <w:vAlign w:val="center"/>
          </w:tcPr>
          <w:p w14:paraId="3D1FD162" w14:textId="77777777" w:rsidR="00816F7D" w:rsidRPr="0018624A" w:rsidRDefault="00816F7D" w:rsidP="00816F7D">
            <w:r w:rsidRPr="0018624A">
              <w:t>1.134</w:t>
            </w:r>
          </w:p>
        </w:tc>
        <w:tc>
          <w:tcPr>
            <w:tcW w:w="600" w:type="dxa"/>
            <w:gridSpan w:val="2"/>
            <w:vAlign w:val="center"/>
          </w:tcPr>
          <w:p w14:paraId="08B07445" w14:textId="77777777" w:rsidR="00816F7D" w:rsidRPr="0018624A" w:rsidRDefault="00816F7D" w:rsidP="00816F7D">
            <w:r w:rsidRPr="0018624A">
              <w:t>**</w:t>
            </w:r>
          </w:p>
        </w:tc>
      </w:tr>
      <w:tr w:rsidR="00816F7D" w:rsidRPr="0018624A" w14:paraId="16B80D02" w14:textId="77777777" w:rsidTr="0076766C">
        <w:trPr>
          <w:jc w:val="center"/>
        </w:trPr>
        <w:tc>
          <w:tcPr>
            <w:tcW w:w="1320" w:type="dxa"/>
            <w:vAlign w:val="center"/>
          </w:tcPr>
          <w:p w14:paraId="0527F9C5" w14:textId="77777777" w:rsidR="00816F7D" w:rsidRPr="0018624A" w:rsidRDefault="00816F7D" w:rsidP="00816F7D">
            <w:r w:rsidRPr="0018624A">
              <w:t>CAR</w:t>
            </w:r>
          </w:p>
        </w:tc>
        <w:tc>
          <w:tcPr>
            <w:tcW w:w="1200" w:type="dxa"/>
            <w:gridSpan w:val="2"/>
            <w:vAlign w:val="center"/>
          </w:tcPr>
          <w:p w14:paraId="69A5BDED" w14:textId="77777777" w:rsidR="00816F7D" w:rsidRPr="0018624A" w:rsidRDefault="00816F7D" w:rsidP="00816F7D">
            <w:r w:rsidRPr="0018624A">
              <w:t>.26</w:t>
            </w:r>
          </w:p>
        </w:tc>
        <w:tc>
          <w:tcPr>
            <w:tcW w:w="1200" w:type="dxa"/>
            <w:vAlign w:val="center"/>
          </w:tcPr>
          <w:p w14:paraId="16741241" w14:textId="77777777" w:rsidR="00816F7D" w:rsidRPr="0018624A" w:rsidRDefault="00816F7D" w:rsidP="00816F7D">
            <w:r w:rsidRPr="0018624A">
              <w:t>.679</w:t>
            </w:r>
          </w:p>
        </w:tc>
        <w:tc>
          <w:tcPr>
            <w:tcW w:w="850" w:type="dxa"/>
            <w:gridSpan w:val="2"/>
            <w:vAlign w:val="center"/>
          </w:tcPr>
          <w:p w14:paraId="7DED0354" w14:textId="77777777" w:rsidR="00816F7D" w:rsidRPr="0018624A" w:rsidRDefault="00816F7D" w:rsidP="00816F7D">
            <w:r w:rsidRPr="0018624A">
              <w:t>0.38</w:t>
            </w:r>
          </w:p>
        </w:tc>
        <w:tc>
          <w:tcPr>
            <w:tcW w:w="900" w:type="dxa"/>
            <w:vAlign w:val="center"/>
          </w:tcPr>
          <w:p w14:paraId="08A5A4CE" w14:textId="77777777" w:rsidR="00816F7D" w:rsidRPr="0018624A" w:rsidRDefault="00816F7D" w:rsidP="00816F7D">
            <w:r w:rsidRPr="0018624A">
              <w:t>.703</w:t>
            </w:r>
          </w:p>
        </w:tc>
        <w:tc>
          <w:tcPr>
            <w:tcW w:w="1200" w:type="dxa"/>
            <w:gridSpan w:val="2"/>
            <w:vAlign w:val="center"/>
          </w:tcPr>
          <w:p w14:paraId="55B02CE8" w14:textId="77777777" w:rsidR="00816F7D" w:rsidRPr="0018624A" w:rsidRDefault="00816F7D" w:rsidP="00816F7D">
            <w:r w:rsidRPr="0018624A">
              <w:t>-1.087</w:t>
            </w:r>
          </w:p>
        </w:tc>
        <w:tc>
          <w:tcPr>
            <w:tcW w:w="1200" w:type="dxa"/>
            <w:vAlign w:val="center"/>
          </w:tcPr>
          <w:p w14:paraId="62B7915A" w14:textId="77777777" w:rsidR="00816F7D" w:rsidRPr="0018624A" w:rsidRDefault="00816F7D" w:rsidP="00816F7D">
            <w:r w:rsidRPr="0018624A">
              <w:t>1.607</w:t>
            </w:r>
          </w:p>
        </w:tc>
        <w:tc>
          <w:tcPr>
            <w:tcW w:w="600" w:type="dxa"/>
            <w:gridSpan w:val="2"/>
            <w:vAlign w:val="center"/>
          </w:tcPr>
          <w:p w14:paraId="37501811" w14:textId="77777777" w:rsidR="00816F7D" w:rsidRPr="0018624A" w:rsidRDefault="00816F7D" w:rsidP="00816F7D"/>
        </w:tc>
      </w:tr>
      <w:tr w:rsidR="00816F7D" w:rsidRPr="0018624A" w14:paraId="3B8E0925" w14:textId="77777777" w:rsidTr="0076766C">
        <w:trPr>
          <w:jc w:val="center"/>
        </w:trPr>
        <w:tc>
          <w:tcPr>
            <w:tcW w:w="1320" w:type="dxa"/>
            <w:vAlign w:val="center"/>
          </w:tcPr>
          <w:p w14:paraId="2DD7CE7C" w14:textId="77777777" w:rsidR="00816F7D" w:rsidRPr="0018624A" w:rsidRDefault="00816F7D" w:rsidP="00816F7D">
            <w:r w:rsidRPr="0018624A">
              <w:t>Constant</w:t>
            </w:r>
          </w:p>
        </w:tc>
        <w:tc>
          <w:tcPr>
            <w:tcW w:w="1200" w:type="dxa"/>
            <w:gridSpan w:val="2"/>
            <w:vAlign w:val="center"/>
          </w:tcPr>
          <w:p w14:paraId="4B192CD5" w14:textId="77777777" w:rsidR="00816F7D" w:rsidRPr="0018624A" w:rsidRDefault="00816F7D" w:rsidP="00816F7D">
            <w:r w:rsidRPr="0018624A">
              <w:t>-12.098</w:t>
            </w:r>
          </w:p>
        </w:tc>
        <w:tc>
          <w:tcPr>
            <w:tcW w:w="1200" w:type="dxa"/>
            <w:vAlign w:val="center"/>
          </w:tcPr>
          <w:p w14:paraId="1FD9D3A7" w14:textId="77777777" w:rsidR="00816F7D" w:rsidRPr="0018624A" w:rsidRDefault="00816F7D" w:rsidP="00816F7D">
            <w:r w:rsidRPr="0018624A">
              <w:t>4.982</w:t>
            </w:r>
          </w:p>
        </w:tc>
        <w:tc>
          <w:tcPr>
            <w:tcW w:w="850" w:type="dxa"/>
            <w:gridSpan w:val="2"/>
            <w:vAlign w:val="center"/>
          </w:tcPr>
          <w:p w14:paraId="02997335" w14:textId="77777777" w:rsidR="00816F7D" w:rsidRPr="0018624A" w:rsidRDefault="00816F7D" w:rsidP="00816F7D">
            <w:r w:rsidRPr="0018624A">
              <w:t>-2.43</w:t>
            </w:r>
          </w:p>
        </w:tc>
        <w:tc>
          <w:tcPr>
            <w:tcW w:w="900" w:type="dxa"/>
            <w:vAlign w:val="center"/>
          </w:tcPr>
          <w:p w14:paraId="53E55AF2" w14:textId="77777777" w:rsidR="00816F7D" w:rsidRPr="0018624A" w:rsidRDefault="00816F7D" w:rsidP="00816F7D">
            <w:r w:rsidRPr="0018624A">
              <w:t>.017</w:t>
            </w:r>
          </w:p>
        </w:tc>
        <w:tc>
          <w:tcPr>
            <w:tcW w:w="1200" w:type="dxa"/>
            <w:gridSpan w:val="2"/>
            <w:vAlign w:val="center"/>
          </w:tcPr>
          <w:p w14:paraId="20DED394" w14:textId="77777777" w:rsidR="00816F7D" w:rsidRPr="0018624A" w:rsidRDefault="00816F7D" w:rsidP="00816F7D">
            <w:r w:rsidRPr="0018624A">
              <w:t>-21.981</w:t>
            </w:r>
          </w:p>
        </w:tc>
        <w:tc>
          <w:tcPr>
            <w:tcW w:w="1200" w:type="dxa"/>
            <w:vAlign w:val="center"/>
          </w:tcPr>
          <w:p w14:paraId="1F67A132" w14:textId="77777777" w:rsidR="00816F7D" w:rsidRPr="0018624A" w:rsidRDefault="00816F7D" w:rsidP="00816F7D">
            <w:r w:rsidRPr="0018624A">
              <w:t>-2.216</w:t>
            </w:r>
          </w:p>
        </w:tc>
        <w:tc>
          <w:tcPr>
            <w:tcW w:w="600" w:type="dxa"/>
            <w:gridSpan w:val="2"/>
            <w:vAlign w:val="center"/>
          </w:tcPr>
          <w:p w14:paraId="659FB921" w14:textId="77777777" w:rsidR="00816F7D" w:rsidRPr="0018624A" w:rsidRDefault="00816F7D" w:rsidP="00816F7D">
            <w:r w:rsidRPr="0018624A">
              <w:t>**</w:t>
            </w:r>
          </w:p>
        </w:tc>
      </w:tr>
      <w:tr w:rsidR="00816F7D" w:rsidRPr="0018624A" w14:paraId="01A3A132" w14:textId="77777777" w:rsidTr="0076766C">
        <w:trPr>
          <w:jc w:val="center"/>
        </w:trPr>
        <w:tc>
          <w:tcPr>
            <w:tcW w:w="8470" w:type="dxa"/>
            <w:gridSpan w:val="12"/>
            <w:vAlign w:val="center"/>
          </w:tcPr>
          <w:p w14:paraId="5301A855" w14:textId="77777777" w:rsidR="00816F7D" w:rsidRPr="0018624A" w:rsidRDefault="00816F7D" w:rsidP="00816F7D"/>
        </w:tc>
      </w:tr>
      <w:tr w:rsidR="00816F7D" w:rsidRPr="0018624A" w14:paraId="4EFF586C" w14:textId="77777777" w:rsidTr="00816F7D">
        <w:trPr>
          <w:gridAfter w:val="1"/>
          <w:wAfter w:w="15" w:type="dxa"/>
          <w:jc w:val="center"/>
        </w:trPr>
        <w:tc>
          <w:tcPr>
            <w:tcW w:w="2020" w:type="dxa"/>
            <w:gridSpan w:val="2"/>
            <w:vAlign w:val="center"/>
          </w:tcPr>
          <w:p w14:paraId="7D6BA63F" w14:textId="77777777" w:rsidR="00816F7D" w:rsidRPr="0018624A" w:rsidRDefault="00816F7D" w:rsidP="00816F7D">
            <w:r w:rsidRPr="0018624A">
              <w:t>Mean dependent var</w:t>
            </w:r>
          </w:p>
        </w:tc>
        <w:tc>
          <w:tcPr>
            <w:tcW w:w="1750" w:type="dxa"/>
            <w:gridSpan w:val="3"/>
            <w:vAlign w:val="center"/>
          </w:tcPr>
          <w:p w14:paraId="25D5A9BD" w14:textId="77777777" w:rsidR="00816F7D" w:rsidRPr="0018624A" w:rsidRDefault="00816F7D" w:rsidP="00816F7D">
            <w:r w:rsidRPr="0018624A">
              <w:t>1.469</w:t>
            </w:r>
          </w:p>
        </w:tc>
        <w:tc>
          <w:tcPr>
            <w:tcW w:w="2300" w:type="dxa"/>
            <w:gridSpan w:val="3"/>
            <w:vAlign w:val="center"/>
          </w:tcPr>
          <w:p w14:paraId="10DD776D" w14:textId="77777777" w:rsidR="00816F7D" w:rsidRPr="0018624A" w:rsidRDefault="00816F7D" w:rsidP="00816F7D">
            <w:r w:rsidRPr="0018624A">
              <w:t>SD dependent var</w:t>
            </w:r>
          </w:p>
        </w:tc>
        <w:tc>
          <w:tcPr>
            <w:tcW w:w="2385" w:type="dxa"/>
            <w:gridSpan w:val="3"/>
            <w:vAlign w:val="center"/>
          </w:tcPr>
          <w:p w14:paraId="1B3B5A2E" w14:textId="77777777" w:rsidR="00816F7D" w:rsidRPr="0018624A" w:rsidRDefault="00816F7D" w:rsidP="00816F7D">
            <w:r w:rsidRPr="0018624A">
              <w:t>0.920</w:t>
            </w:r>
          </w:p>
        </w:tc>
      </w:tr>
      <w:tr w:rsidR="00816F7D" w:rsidRPr="0018624A" w14:paraId="52BA4B68" w14:textId="77777777" w:rsidTr="00816F7D">
        <w:trPr>
          <w:gridAfter w:val="1"/>
          <w:wAfter w:w="15" w:type="dxa"/>
          <w:jc w:val="center"/>
        </w:trPr>
        <w:tc>
          <w:tcPr>
            <w:tcW w:w="2020" w:type="dxa"/>
            <w:gridSpan w:val="2"/>
            <w:vAlign w:val="center"/>
          </w:tcPr>
          <w:p w14:paraId="34F00C8A" w14:textId="77777777" w:rsidR="00816F7D" w:rsidRPr="0018624A" w:rsidRDefault="00816F7D" w:rsidP="00816F7D">
            <w:r w:rsidRPr="0018624A">
              <w:t>R-squared</w:t>
            </w:r>
          </w:p>
        </w:tc>
        <w:tc>
          <w:tcPr>
            <w:tcW w:w="1750" w:type="dxa"/>
            <w:gridSpan w:val="3"/>
            <w:vAlign w:val="center"/>
          </w:tcPr>
          <w:p w14:paraId="781DD3C9" w14:textId="77777777" w:rsidR="00816F7D" w:rsidRPr="0018624A" w:rsidRDefault="00816F7D" w:rsidP="00816F7D">
            <w:r w:rsidRPr="0018624A">
              <w:t>0.077</w:t>
            </w:r>
          </w:p>
        </w:tc>
        <w:tc>
          <w:tcPr>
            <w:tcW w:w="2300" w:type="dxa"/>
            <w:gridSpan w:val="3"/>
            <w:vAlign w:val="center"/>
          </w:tcPr>
          <w:p w14:paraId="2B52B511" w14:textId="77777777" w:rsidR="00816F7D" w:rsidRPr="0018624A" w:rsidRDefault="00816F7D" w:rsidP="00816F7D">
            <w:r w:rsidRPr="0018624A">
              <w:t>Number of obs</w:t>
            </w:r>
          </w:p>
        </w:tc>
        <w:tc>
          <w:tcPr>
            <w:tcW w:w="2385" w:type="dxa"/>
            <w:gridSpan w:val="3"/>
            <w:vAlign w:val="center"/>
          </w:tcPr>
          <w:p w14:paraId="1EF90826" w14:textId="77777777" w:rsidR="00816F7D" w:rsidRPr="0018624A" w:rsidRDefault="00816F7D" w:rsidP="00816F7D">
            <w:r w:rsidRPr="0018624A">
              <w:t>119.000</w:t>
            </w:r>
          </w:p>
        </w:tc>
      </w:tr>
      <w:tr w:rsidR="00816F7D" w:rsidRPr="0018624A" w14:paraId="0189D801" w14:textId="77777777" w:rsidTr="00816F7D">
        <w:trPr>
          <w:gridAfter w:val="1"/>
          <w:wAfter w:w="15" w:type="dxa"/>
          <w:jc w:val="center"/>
        </w:trPr>
        <w:tc>
          <w:tcPr>
            <w:tcW w:w="2020" w:type="dxa"/>
            <w:gridSpan w:val="2"/>
            <w:vAlign w:val="center"/>
          </w:tcPr>
          <w:p w14:paraId="4FEBB810" w14:textId="77777777" w:rsidR="00816F7D" w:rsidRPr="0018624A" w:rsidRDefault="00816F7D" w:rsidP="00816F7D">
            <w:r w:rsidRPr="0018624A">
              <w:t>F-test</w:t>
            </w:r>
          </w:p>
        </w:tc>
        <w:tc>
          <w:tcPr>
            <w:tcW w:w="1750" w:type="dxa"/>
            <w:gridSpan w:val="3"/>
            <w:vAlign w:val="center"/>
          </w:tcPr>
          <w:p w14:paraId="21010B24" w14:textId="77777777" w:rsidR="00816F7D" w:rsidRPr="0018624A" w:rsidRDefault="00816F7D" w:rsidP="00816F7D">
            <w:r w:rsidRPr="0018624A">
              <w:t>1.709</w:t>
            </w:r>
          </w:p>
        </w:tc>
        <w:tc>
          <w:tcPr>
            <w:tcW w:w="2300" w:type="dxa"/>
            <w:gridSpan w:val="3"/>
            <w:vAlign w:val="center"/>
          </w:tcPr>
          <w:p w14:paraId="401528F0" w14:textId="77777777" w:rsidR="00816F7D" w:rsidRPr="0018624A" w:rsidRDefault="00816F7D" w:rsidP="00816F7D">
            <w:r w:rsidRPr="0018624A">
              <w:t>Prob &gt; F</w:t>
            </w:r>
          </w:p>
        </w:tc>
        <w:tc>
          <w:tcPr>
            <w:tcW w:w="2385" w:type="dxa"/>
            <w:gridSpan w:val="3"/>
            <w:vAlign w:val="center"/>
          </w:tcPr>
          <w:p w14:paraId="06D05642" w14:textId="77777777" w:rsidR="00816F7D" w:rsidRPr="0018624A" w:rsidRDefault="00816F7D" w:rsidP="00816F7D">
            <w:r w:rsidRPr="0018624A">
              <w:t>0.056</w:t>
            </w:r>
          </w:p>
        </w:tc>
      </w:tr>
      <w:tr w:rsidR="00816F7D" w:rsidRPr="0018624A" w14:paraId="485E925E" w14:textId="77777777" w:rsidTr="00816F7D">
        <w:trPr>
          <w:gridAfter w:val="1"/>
          <w:wAfter w:w="15" w:type="dxa"/>
          <w:jc w:val="center"/>
        </w:trPr>
        <w:tc>
          <w:tcPr>
            <w:tcW w:w="2020" w:type="dxa"/>
            <w:gridSpan w:val="2"/>
            <w:vAlign w:val="center"/>
          </w:tcPr>
          <w:p w14:paraId="2030506B" w14:textId="77777777" w:rsidR="00816F7D" w:rsidRPr="0018624A" w:rsidRDefault="00816F7D" w:rsidP="00816F7D">
            <w:r w:rsidRPr="0018624A">
              <w:t>Akaike crit. (AIC)</w:t>
            </w:r>
          </w:p>
        </w:tc>
        <w:tc>
          <w:tcPr>
            <w:tcW w:w="1750" w:type="dxa"/>
            <w:gridSpan w:val="3"/>
            <w:vAlign w:val="center"/>
          </w:tcPr>
          <w:p w14:paraId="7889D93C" w14:textId="77777777" w:rsidR="00816F7D" w:rsidRPr="0018624A" w:rsidRDefault="00816F7D" w:rsidP="00816F7D">
            <w:r w:rsidRPr="0018624A">
              <w:t>291.098</w:t>
            </w:r>
          </w:p>
        </w:tc>
        <w:tc>
          <w:tcPr>
            <w:tcW w:w="2300" w:type="dxa"/>
            <w:gridSpan w:val="3"/>
            <w:vAlign w:val="center"/>
          </w:tcPr>
          <w:p w14:paraId="5B5FB943" w14:textId="77777777" w:rsidR="00816F7D" w:rsidRPr="0018624A" w:rsidRDefault="00816F7D" w:rsidP="00816F7D">
            <w:r w:rsidRPr="0018624A">
              <w:t>Bayesian crit. (BIC)</w:t>
            </w:r>
          </w:p>
        </w:tc>
        <w:tc>
          <w:tcPr>
            <w:tcW w:w="2385" w:type="dxa"/>
            <w:gridSpan w:val="3"/>
            <w:vAlign w:val="center"/>
          </w:tcPr>
          <w:p w14:paraId="02531523" w14:textId="77777777" w:rsidR="00816F7D" w:rsidRPr="0018624A" w:rsidRDefault="00816F7D" w:rsidP="00816F7D">
            <w:r w:rsidRPr="0018624A">
              <w:t>307.773</w:t>
            </w:r>
          </w:p>
        </w:tc>
      </w:tr>
      <w:tr w:rsidR="00816F7D" w:rsidRPr="0018624A" w14:paraId="0449D58E" w14:textId="77777777" w:rsidTr="0076766C">
        <w:trPr>
          <w:jc w:val="center"/>
        </w:trPr>
        <w:tc>
          <w:tcPr>
            <w:tcW w:w="8470" w:type="dxa"/>
            <w:gridSpan w:val="12"/>
            <w:vAlign w:val="center"/>
          </w:tcPr>
          <w:p w14:paraId="6F21F1E5" w14:textId="77777777" w:rsidR="00816F7D" w:rsidRPr="0018624A" w:rsidRDefault="00816F7D" w:rsidP="00816F7D">
            <w:r w:rsidRPr="0018624A">
              <w:rPr>
                <w:i/>
                <w:iCs/>
              </w:rPr>
              <w:t>*** p&lt;.01, ** p&lt;.05, * p&lt;.1</w:t>
            </w:r>
          </w:p>
        </w:tc>
      </w:tr>
      <w:tr w:rsidR="00816F7D" w:rsidRPr="0018624A" w14:paraId="4EEDCBF2" w14:textId="77777777" w:rsidTr="0076766C">
        <w:trPr>
          <w:jc w:val="center"/>
        </w:trPr>
        <w:tc>
          <w:tcPr>
            <w:tcW w:w="8470" w:type="dxa"/>
            <w:gridSpan w:val="12"/>
            <w:vAlign w:val="center"/>
          </w:tcPr>
          <w:p w14:paraId="1F9269B3" w14:textId="77777777" w:rsidR="00816F7D" w:rsidRPr="0018624A" w:rsidRDefault="00816F7D" w:rsidP="00816F7D"/>
        </w:tc>
      </w:tr>
    </w:tbl>
    <w:p w14:paraId="7B7FE917" w14:textId="77777777" w:rsidR="00816F7D" w:rsidRDefault="00816F7D" w:rsidP="00816F7D">
      <w:pPr>
        <w:rPr>
          <w:b/>
          <w:bCs/>
          <w:i/>
          <w:iCs/>
          <w:u w:val="single"/>
        </w:rPr>
      </w:pPr>
    </w:p>
    <w:p w14:paraId="1C6F723C" w14:textId="77777777" w:rsidR="00816F7D" w:rsidRDefault="00816F7D" w:rsidP="00816F7D">
      <w:pPr>
        <w:rPr>
          <w:b/>
          <w:bCs/>
          <w:i/>
          <w:iCs/>
          <w:u w:val="single"/>
        </w:rPr>
      </w:pPr>
    </w:p>
    <w:p w14:paraId="5710AE40" w14:textId="77777777" w:rsidR="00816F7D" w:rsidRDefault="00816F7D" w:rsidP="00816F7D">
      <w:pPr>
        <w:rPr>
          <w:b/>
          <w:bCs/>
          <w:i/>
          <w:iCs/>
          <w:u w:val="single"/>
        </w:rPr>
      </w:pPr>
    </w:p>
    <w:p w14:paraId="46F05EFE" w14:textId="77777777" w:rsidR="00816F7D" w:rsidRDefault="00816F7D" w:rsidP="00816F7D">
      <w:pPr>
        <w:rPr>
          <w:b/>
          <w:bCs/>
          <w:i/>
          <w:iCs/>
          <w:u w:val="single"/>
        </w:rPr>
      </w:pPr>
    </w:p>
    <w:p w14:paraId="53835031" w14:textId="77777777" w:rsidR="00816F7D" w:rsidRDefault="00816F7D" w:rsidP="00816F7D">
      <w:pPr>
        <w:rPr>
          <w:b/>
          <w:bCs/>
          <w:i/>
          <w:iCs/>
          <w:u w:val="single"/>
        </w:rPr>
      </w:pPr>
    </w:p>
    <w:p w14:paraId="13B5ED8A" w14:textId="0E790361" w:rsidR="00816F7D" w:rsidRPr="00816F7D" w:rsidRDefault="00816F7D" w:rsidP="00816F7D">
      <w:pPr>
        <w:rPr>
          <w:b/>
          <w:bCs/>
          <w:i/>
          <w:iCs/>
          <w:u w:val="single"/>
        </w:rPr>
      </w:pPr>
      <w:r w:rsidRPr="00816F7D">
        <w:rPr>
          <w:b/>
          <w:bCs/>
          <w:i/>
          <w:iCs/>
          <w:u w:val="single"/>
        </w:rPr>
        <w:t>Random effect Regression results</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700"/>
        <w:gridCol w:w="500"/>
        <w:gridCol w:w="1200"/>
        <w:gridCol w:w="50"/>
        <w:gridCol w:w="800"/>
        <w:gridCol w:w="900"/>
        <w:gridCol w:w="600"/>
        <w:gridCol w:w="600"/>
        <w:gridCol w:w="1200"/>
        <w:gridCol w:w="600"/>
        <w:gridCol w:w="16"/>
      </w:tblGrid>
      <w:tr w:rsidR="00816F7D" w:rsidRPr="0018624A" w14:paraId="2F5BA168" w14:textId="77777777" w:rsidTr="00816F7D">
        <w:trPr>
          <w:gridAfter w:val="1"/>
          <w:wAfter w:w="16" w:type="dxa"/>
          <w:jc w:val="center"/>
        </w:trPr>
        <w:tc>
          <w:tcPr>
            <w:tcW w:w="1379" w:type="dxa"/>
            <w:vAlign w:val="center"/>
          </w:tcPr>
          <w:p w14:paraId="45668CD1" w14:textId="77777777" w:rsidR="00816F7D" w:rsidRPr="0018624A" w:rsidRDefault="00816F7D" w:rsidP="00816F7D">
            <w:r w:rsidRPr="0018624A">
              <w:t>LR</w:t>
            </w:r>
          </w:p>
        </w:tc>
        <w:tc>
          <w:tcPr>
            <w:tcW w:w="1200" w:type="dxa"/>
            <w:gridSpan w:val="2"/>
            <w:vAlign w:val="center"/>
          </w:tcPr>
          <w:p w14:paraId="0A3504EC" w14:textId="77777777" w:rsidR="00816F7D" w:rsidRPr="0018624A" w:rsidRDefault="00816F7D" w:rsidP="00816F7D">
            <w:r w:rsidRPr="0018624A">
              <w:t>Coef.</w:t>
            </w:r>
          </w:p>
        </w:tc>
        <w:tc>
          <w:tcPr>
            <w:tcW w:w="1200" w:type="dxa"/>
            <w:vAlign w:val="center"/>
          </w:tcPr>
          <w:p w14:paraId="2F0A80CA" w14:textId="77777777" w:rsidR="00816F7D" w:rsidRPr="0018624A" w:rsidRDefault="00816F7D" w:rsidP="00816F7D">
            <w:r w:rsidRPr="0018624A">
              <w:t>St.Err.</w:t>
            </w:r>
          </w:p>
        </w:tc>
        <w:tc>
          <w:tcPr>
            <w:tcW w:w="850" w:type="dxa"/>
            <w:gridSpan w:val="2"/>
            <w:vAlign w:val="center"/>
          </w:tcPr>
          <w:p w14:paraId="40FBA1EB" w14:textId="77777777" w:rsidR="00816F7D" w:rsidRPr="0018624A" w:rsidRDefault="00816F7D" w:rsidP="00816F7D">
            <w:r w:rsidRPr="0018624A">
              <w:t>t-value</w:t>
            </w:r>
          </w:p>
        </w:tc>
        <w:tc>
          <w:tcPr>
            <w:tcW w:w="900" w:type="dxa"/>
            <w:vAlign w:val="center"/>
          </w:tcPr>
          <w:p w14:paraId="107F9ABA" w14:textId="77777777" w:rsidR="00816F7D" w:rsidRPr="0018624A" w:rsidRDefault="00816F7D" w:rsidP="00816F7D">
            <w:r w:rsidRPr="0018624A">
              <w:t>p-value</w:t>
            </w:r>
          </w:p>
        </w:tc>
        <w:tc>
          <w:tcPr>
            <w:tcW w:w="1200" w:type="dxa"/>
            <w:gridSpan w:val="2"/>
            <w:vAlign w:val="center"/>
          </w:tcPr>
          <w:p w14:paraId="0A5F89B2" w14:textId="77777777" w:rsidR="00816F7D" w:rsidRPr="0018624A" w:rsidRDefault="00816F7D" w:rsidP="00816F7D">
            <w:r w:rsidRPr="0018624A">
              <w:t>[95% Conf</w:t>
            </w:r>
          </w:p>
        </w:tc>
        <w:tc>
          <w:tcPr>
            <w:tcW w:w="1200" w:type="dxa"/>
            <w:vAlign w:val="center"/>
          </w:tcPr>
          <w:p w14:paraId="0E322704" w14:textId="77777777" w:rsidR="00816F7D" w:rsidRPr="0018624A" w:rsidRDefault="00816F7D" w:rsidP="00816F7D">
            <w:r w:rsidRPr="0018624A">
              <w:t>Interval]</w:t>
            </w:r>
          </w:p>
        </w:tc>
        <w:tc>
          <w:tcPr>
            <w:tcW w:w="600" w:type="dxa"/>
            <w:vAlign w:val="center"/>
          </w:tcPr>
          <w:p w14:paraId="350F8485" w14:textId="77777777" w:rsidR="00816F7D" w:rsidRPr="0018624A" w:rsidRDefault="00816F7D" w:rsidP="00816F7D">
            <w:r w:rsidRPr="0018624A">
              <w:t>Sig</w:t>
            </w:r>
          </w:p>
        </w:tc>
      </w:tr>
      <w:tr w:rsidR="00816F7D" w:rsidRPr="0018624A" w14:paraId="5FD4CE7C" w14:textId="77777777" w:rsidTr="00816F7D">
        <w:trPr>
          <w:gridAfter w:val="1"/>
          <w:wAfter w:w="16" w:type="dxa"/>
          <w:jc w:val="center"/>
        </w:trPr>
        <w:tc>
          <w:tcPr>
            <w:tcW w:w="1379" w:type="dxa"/>
            <w:vAlign w:val="center"/>
          </w:tcPr>
          <w:p w14:paraId="694BEA5F" w14:textId="77777777" w:rsidR="00816F7D" w:rsidRPr="0018624A" w:rsidRDefault="00816F7D" w:rsidP="00816F7D">
            <w:r w:rsidRPr="0018624A">
              <w:t>DA</w:t>
            </w:r>
          </w:p>
        </w:tc>
        <w:tc>
          <w:tcPr>
            <w:tcW w:w="1200" w:type="dxa"/>
            <w:gridSpan w:val="2"/>
            <w:vAlign w:val="center"/>
          </w:tcPr>
          <w:p w14:paraId="206B2551" w14:textId="77777777" w:rsidR="00816F7D" w:rsidRPr="0018624A" w:rsidRDefault="00816F7D" w:rsidP="00816F7D">
            <w:r w:rsidRPr="0018624A">
              <w:t>.501</w:t>
            </w:r>
          </w:p>
        </w:tc>
        <w:tc>
          <w:tcPr>
            <w:tcW w:w="1200" w:type="dxa"/>
            <w:vAlign w:val="center"/>
          </w:tcPr>
          <w:p w14:paraId="49834FFE" w14:textId="77777777" w:rsidR="00816F7D" w:rsidRPr="0018624A" w:rsidRDefault="00816F7D" w:rsidP="00816F7D">
            <w:r w:rsidRPr="0018624A">
              <w:t>.848</w:t>
            </w:r>
          </w:p>
        </w:tc>
        <w:tc>
          <w:tcPr>
            <w:tcW w:w="850" w:type="dxa"/>
            <w:gridSpan w:val="2"/>
            <w:vAlign w:val="center"/>
          </w:tcPr>
          <w:p w14:paraId="4DA0AC9F" w14:textId="77777777" w:rsidR="00816F7D" w:rsidRPr="0018624A" w:rsidRDefault="00816F7D" w:rsidP="00816F7D">
            <w:r w:rsidRPr="0018624A">
              <w:t>0.59</w:t>
            </w:r>
          </w:p>
        </w:tc>
        <w:tc>
          <w:tcPr>
            <w:tcW w:w="900" w:type="dxa"/>
            <w:vAlign w:val="center"/>
          </w:tcPr>
          <w:p w14:paraId="280B3870" w14:textId="77777777" w:rsidR="00816F7D" w:rsidRPr="0018624A" w:rsidRDefault="00816F7D" w:rsidP="00816F7D">
            <w:r w:rsidRPr="0018624A">
              <w:t>.554</w:t>
            </w:r>
          </w:p>
        </w:tc>
        <w:tc>
          <w:tcPr>
            <w:tcW w:w="1200" w:type="dxa"/>
            <w:gridSpan w:val="2"/>
            <w:vAlign w:val="center"/>
          </w:tcPr>
          <w:p w14:paraId="5180F103" w14:textId="77777777" w:rsidR="00816F7D" w:rsidRPr="0018624A" w:rsidRDefault="00816F7D" w:rsidP="00816F7D">
            <w:r w:rsidRPr="0018624A">
              <w:t>-1.161</w:t>
            </w:r>
          </w:p>
        </w:tc>
        <w:tc>
          <w:tcPr>
            <w:tcW w:w="1200" w:type="dxa"/>
            <w:vAlign w:val="center"/>
          </w:tcPr>
          <w:p w14:paraId="5AAACF23" w14:textId="77777777" w:rsidR="00816F7D" w:rsidRPr="0018624A" w:rsidRDefault="00816F7D" w:rsidP="00816F7D">
            <w:r w:rsidRPr="0018624A">
              <w:t>2.163</w:t>
            </w:r>
          </w:p>
        </w:tc>
        <w:tc>
          <w:tcPr>
            <w:tcW w:w="600" w:type="dxa"/>
            <w:vAlign w:val="center"/>
          </w:tcPr>
          <w:p w14:paraId="65D963C1" w14:textId="77777777" w:rsidR="00816F7D" w:rsidRPr="0018624A" w:rsidRDefault="00816F7D" w:rsidP="00816F7D"/>
        </w:tc>
      </w:tr>
      <w:tr w:rsidR="00816F7D" w:rsidRPr="0018624A" w14:paraId="0F82EB9F" w14:textId="77777777" w:rsidTr="00816F7D">
        <w:trPr>
          <w:gridAfter w:val="1"/>
          <w:wAfter w:w="16" w:type="dxa"/>
          <w:jc w:val="center"/>
        </w:trPr>
        <w:tc>
          <w:tcPr>
            <w:tcW w:w="1379" w:type="dxa"/>
            <w:vAlign w:val="center"/>
          </w:tcPr>
          <w:p w14:paraId="0202500E" w14:textId="77777777" w:rsidR="00816F7D" w:rsidRPr="0018624A" w:rsidRDefault="00816F7D" w:rsidP="00816F7D">
            <w:r w:rsidRPr="0018624A">
              <w:t>CR</w:t>
            </w:r>
          </w:p>
        </w:tc>
        <w:tc>
          <w:tcPr>
            <w:tcW w:w="1200" w:type="dxa"/>
            <w:gridSpan w:val="2"/>
            <w:vAlign w:val="center"/>
          </w:tcPr>
          <w:p w14:paraId="2DC5D6DE" w14:textId="77777777" w:rsidR="00816F7D" w:rsidRPr="0018624A" w:rsidRDefault="00816F7D" w:rsidP="00816F7D">
            <w:r w:rsidRPr="0018624A">
              <w:t>.196</w:t>
            </w:r>
          </w:p>
        </w:tc>
        <w:tc>
          <w:tcPr>
            <w:tcW w:w="1200" w:type="dxa"/>
            <w:vAlign w:val="center"/>
          </w:tcPr>
          <w:p w14:paraId="19D0DBD1" w14:textId="77777777" w:rsidR="00816F7D" w:rsidRPr="0018624A" w:rsidRDefault="00816F7D" w:rsidP="00816F7D">
            <w:r w:rsidRPr="0018624A">
              <w:t>1.222</w:t>
            </w:r>
          </w:p>
        </w:tc>
        <w:tc>
          <w:tcPr>
            <w:tcW w:w="850" w:type="dxa"/>
            <w:gridSpan w:val="2"/>
            <w:vAlign w:val="center"/>
          </w:tcPr>
          <w:p w14:paraId="7C8DB13F" w14:textId="77777777" w:rsidR="00816F7D" w:rsidRPr="0018624A" w:rsidRDefault="00816F7D" w:rsidP="00816F7D">
            <w:r w:rsidRPr="0018624A">
              <w:t>0.16</w:t>
            </w:r>
          </w:p>
        </w:tc>
        <w:tc>
          <w:tcPr>
            <w:tcW w:w="900" w:type="dxa"/>
            <w:vAlign w:val="center"/>
          </w:tcPr>
          <w:p w14:paraId="62D5B34C" w14:textId="77777777" w:rsidR="00816F7D" w:rsidRPr="0018624A" w:rsidRDefault="00816F7D" w:rsidP="00816F7D">
            <w:r w:rsidRPr="0018624A">
              <w:t>.872</w:t>
            </w:r>
          </w:p>
        </w:tc>
        <w:tc>
          <w:tcPr>
            <w:tcW w:w="1200" w:type="dxa"/>
            <w:gridSpan w:val="2"/>
            <w:vAlign w:val="center"/>
          </w:tcPr>
          <w:p w14:paraId="3B4C5CBA" w14:textId="77777777" w:rsidR="00816F7D" w:rsidRPr="0018624A" w:rsidRDefault="00816F7D" w:rsidP="00816F7D">
            <w:r w:rsidRPr="0018624A">
              <w:t>-2.199</w:t>
            </w:r>
          </w:p>
        </w:tc>
        <w:tc>
          <w:tcPr>
            <w:tcW w:w="1200" w:type="dxa"/>
            <w:vAlign w:val="center"/>
          </w:tcPr>
          <w:p w14:paraId="7B8E178B" w14:textId="77777777" w:rsidR="00816F7D" w:rsidRPr="0018624A" w:rsidRDefault="00816F7D" w:rsidP="00816F7D">
            <w:r w:rsidRPr="0018624A">
              <w:t>2.592</w:t>
            </w:r>
          </w:p>
        </w:tc>
        <w:tc>
          <w:tcPr>
            <w:tcW w:w="600" w:type="dxa"/>
            <w:vAlign w:val="center"/>
          </w:tcPr>
          <w:p w14:paraId="152A36BF" w14:textId="77777777" w:rsidR="00816F7D" w:rsidRPr="0018624A" w:rsidRDefault="00816F7D" w:rsidP="00816F7D"/>
        </w:tc>
      </w:tr>
      <w:tr w:rsidR="00816F7D" w:rsidRPr="0018624A" w14:paraId="702366E0" w14:textId="77777777" w:rsidTr="00816F7D">
        <w:trPr>
          <w:gridAfter w:val="1"/>
          <w:wAfter w:w="16" w:type="dxa"/>
          <w:jc w:val="center"/>
        </w:trPr>
        <w:tc>
          <w:tcPr>
            <w:tcW w:w="1379" w:type="dxa"/>
            <w:vAlign w:val="center"/>
          </w:tcPr>
          <w:p w14:paraId="2C95E903" w14:textId="77777777" w:rsidR="00816F7D" w:rsidRPr="0018624A" w:rsidRDefault="00816F7D" w:rsidP="00816F7D">
            <w:r w:rsidRPr="0018624A">
              <w:t>ROE</w:t>
            </w:r>
          </w:p>
        </w:tc>
        <w:tc>
          <w:tcPr>
            <w:tcW w:w="1200" w:type="dxa"/>
            <w:gridSpan w:val="2"/>
            <w:vAlign w:val="center"/>
          </w:tcPr>
          <w:p w14:paraId="0E18DF0D" w14:textId="77777777" w:rsidR="00816F7D" w:rsidRPr="0018624A" w:rsidRDefault="00816F7D" w:rsidP="00816F7D">
            <w:r w:rsidRPr="0018624A">
              <w:t>-.834</w:t>
            </w:r>
          </w:p>
        </w:tc>
        <w:tc>
          <w:tcPr>
            <w:tcW w:w="1200" w:type="dxa"/>
            <w:vAlign w:val="center"/>
          </w:tcPr>
          <w:p w14:paraId="6B31A9B8" w14:textId="77777777" w:rsidR="00816F7D" w:rsidRPr="0018624A" w:rsidRDefault="00816F7D" w:rsidP="00816F7D">
            <w:r w:rsidRPr="0018624A">
              <w:t>.797</w:t>
            </w:r>
          </w:p>
        </w:tc>
        <w:tc>
          <w:tcPr>
            <w:tcW w:w="850" w:type="dxa"/>
            <w:gridSpan w:val="2"/>
            <w:vAlign w:val="center"/>
          </w:tcPr>
          <w:p w14:paraId="6B48FA4B" w14:textId="77777777" w:rsidR="00816F7D" w:rsidRPr="0018624A" w:rsidRDefault="00816F7D" w:rsidP="00816F7D">
            <w:r w:rsidRPr="0018624A">
              <w:t>-1.05</w:t>
            </w:r>
          </w:p>
        </w:tc>
        <w:tc>
          <w:tcPr>
            <w:tcW w:w="900" w:type="dxa"/>
            <w:vAlign w:val="center"/>
          </w:tcPr>
          <w:p w14:paraId="69B6F239" w14:textId="77777777" w:rsidR="00816F7D" w:rsidRPr="0018624A" w:rsidRDefault="00816F7D" w:rsidP="00816F7D">
            <w:r w:rsidRPr="0018624A">
              <w:t>.295</w:t>
            </w:r>
          </w:p>
        </w:tc>
        <w:tc>
          <w:tcPr>
            <w:tcW w:w="1200" w:type="dxa"/>
            <w:gridSpan w:val="2"/>
            <w:vAlign w:val="center"/>
          </w:tcPr>
          <w:p w14:paraId="2A7772F6" w14:textId="77777777" w:rsidR="00816F7D" w:rsidRPr="0018624A" w:rsidRDefault="00816F7D" w:rsidP="00816F7D">
            <w:r w:rsidRPr="0018624A">
              <w:t>-2.396</w:t>
            </w:r>
          </w:p>
        </w:tc>
        <w:tc>
          <w:tcPr>
            <w:tcW w:w="1200" w:type="dxa"/>
            <w:vAlign w:val="center"/>
          </w:tcPr>
          <w:p w14:paraId="438223AE" w14:textId="77777777" w:rsidR="00816F7D" w:rsidRPr="0018624A" w:rsidRDefault="00816F7D" w:rsidP="00816F7D">
            <w:r w:rsidRPr="0018624A">
              <w:t>.728</w:t>
            </w:r>
          </w:p>
        </w:tc>
        <w:tc>
          <w:tcPr>
            <w:tcW w:w="600" w:type="dxa"/>
            <w:vAlign w:val="center"/>
          </w:tcPr>
          <w:p w14:paraId="729F9BA8" w14:textId="77777777" w:rsidR="00816F7D" w:rsidRPr="0018624A" w:rsidRDefault="00816F7D" w:rsidP="00816F7D"/>
        </w:tc>
      </w:tr>
      <w:tr w:rsidR="00816F7D" w:rsidRPr="0018624A" w14:paraId="70E072FF" w14:textId="77777777" w:rsidTr="00816F7D">
        <w:trPr>
          <w:gridAfter w:val="1"/>
          <w:wAfter w:w="16" w:type="dxa"/>
          <w:jc w:val="center"/>
        </w:trPr>
        <w:tc>
          <w:tcPr>
            <w:tcW w:w="1379" w:type="dxa"/>
            <w:vAlign w:val="center"/>
          </w:tcPr>
          <w:p w14:paraId="192EA07B" w14:textId="77777777" w:rsidR="00816F7D" w:rsidRPr="0018624A" w:rsidRDefault="00816F7D" w:rsidP="00816F7D">
            <w:r w:rsidRPr="0018624A">
              <w:t>BS</w:t>
            </w:r>
          </w:p>
        </w:tc>
        <w:tc>
          <w:tcPr>
            <w:tcW w:w="1200" w:type="dxa"/>
            <w:gridSpan w:val="2"/>
            <w:vAlign w:val="center"/>
          </w:tcPr>
          <w:p w14:paraId="2CCF40F6" w14:textId="77777777" w:rsidR="00816F7D" w:rsidRPr="0018624A" w:rsidRDefault="00816F7D" w:rsidP="00816F7D">
            <w:r w:rsidRPr="0018624A">
              <w:t>.27</w:t>
            </w:r>
          </w:p>
        </w:tc>
        <w:tc>
          <w:tcPr>
            <w:tcW w:w="1200" w:type="dxa"/>
            <w:vAlign w:val="center"/>
          </w:tcPr>
          <w:p w14:paraId="25FBF2A3" w14:textId="77777777" w:rsidR="00816F7D" w:rsidRPr="0018624A" w:rsidRDefault="00816F7D" w:rsidP="00816F7D">
            <w:r w:rsidRPr="0018624A">
              <w:t>.147</w:t>
            </w:r>
          </w:p>
        </w:tc>
        <w:tc>
          <w:tcPr>
            <w:tcW w:w="850" w:type="dxa"/>
            <w:gridSpan w:val="2"/>
            <w:vAlign w:val="center"/>
          </w:tcPr>
          <w:p w14:paraId="4D9825D0" w14:textId="77777777" w:rsidR="00816F7D" w:rsidRPr="0018624A" w:rsidRDefault="00816F7D" w:rsidP="00816F7D">
            <w:r w:rsidRPr="0018624A">
              <w:t>1.84</w:t>
            </w:r>
          </w:p>
        </w:tc>
        <w:tc>
          <w:tcPr>
            <w:tcW w:w="900" w:type="dxa"/>
            <w:vAlign w:val="center"/>
          </w:tcPr>
          <w:p w14:paraId="60EF8B28" w14:textId="77777777" w:rsidR="00816F7D" w:rsidRPr="0018624A" w:rsidRDefault="00816F7D" w:rsidP="00816F7D">
            <w:r w:rsidRPr="0018624A">
              <w:t>.066</w:t>
            </w:r>
          </w:p>
        </w:tc>
        <w:tc>
          <w:tcPr>
            <w:tcW w:w="1200" w:type="dxa"/>
            <w:gridSpan w:val="2"/>
            <w:vAlign w:val="center"/>
          </w:tcPr>
          <w:p w14:paraId="60BA5B44" w14:textId="77777777" w:rsidR="00816F7D" w:rsidRPr="0018624A" w:rsidRDefault="00816F7D" w:rsidP="00816F7D">
            <w:r w:rsidRPr="0018624A">
              <w:t>-.018</w:t>
            </w:r>
          </w:p>
        </w:tc>
        <w:tc>
          <w:tcPr>
            <w:tcW w:w="1200" w:type="dxa"/>
            <w:vAlign w:val="center"/>
          </w:tcPr>
          <w:p w14:paraId="684C2275" w14:textId="77777777" w:rsidR="00816F7D" w:rsidRPr="0018624A" w:rsidRDefault="00816F7D" w:rsidP="00816F7D">
            <w:r w:rsidRPr="0018624A">
              <w:t>.557</w:t>
            </w:r>
          </w:p>
        </w:tc>
        <w:tc>
          <w:tcPr>
            <w:tcW w:w="600" w:type="dxa"/>
            <w:vAlign w:val="center"/>
          </w:tcPr>
          <w:p w14:paraId="4BD2CBC7" w14:textId="77777777" w:rsidR="00816F7D" w:rsidRPr="0018624A" w:rsidRDefault="00816F7D" w:rsidP="00816F7D">
            <w:r w:rsidRPr="0018624A">
              <w:t>*</w:t>
            </w:r>
          </w:p>
        </w:tc>
      </w:tr>
      <w:tr w:rsidR="00816F7D" w:rsidRPr="0018624A" w14:paraId="54F66241" w14:textId="77777777" w:rsidTr="00816F7D">
        <w:trPr>
          <w:gridAfter w:val="1"/>
          <w:wAfter w:w="16" w:type="dxa"/>
          <w:jc w:val="center"/>
        </w:trPr>
        <w:tc>
          <w:tcPr>
            <w:tcW w:w="1379" w:type="dxa"/>
            <w:vAlign w:val="center"/>
          </w:tcPr>
          <w:p w14:paraId="6DA89B71" w14:textId="77777777" w:rsidR="00816F7D" w:rsidRPr="0018624A" w:rsidRDefault="00816F7D" w:rsidP="00816F7D">
            <w:r w:rsidRPr="0018624A">
              <w:t>CAR</w:t>
            </w:r>
          </w:p>
        </w:tc>
        <w:tc>
          <w:tcPr>
            <w:tcW w:w="1200" w:type="dxa"/>
            <w:gridSpan w:val="2"/>
            <w:vAlign w:val="center"/>
          </w:tcPr>
          <w:p w14:paraId="78603329" w14:textId="77777777" w:rsidR="00816F7D" w:rsidRPr="0018624A" w:rsidRDefault="00816F7D" w:rsidP="00816F7D">
            <w:r w:rsidRPr="0018624A">
              <w:t>-.027</w:t>
            </w:r>
          </w:p>
        </w:tc>
        <w:tc>
          <w:tcPr>
            <w:tcW w:w="1200" w:type="dxa"/>
            <w:vAlign w:val="center"/>
          </w:tcPr>
          <w:p w14:paraId="1D97A881" w14:textId="77777777" w:rsidR="00816F7D" w:rsidRPr="0018624A" w:rsidRDefault="00816F7D" w:rsidP="00816F7D">
            <w:r w:rsidRPr="0018624A">
              <w:t>.492</w:t>
            </w:r>
          </w:p>
        </w:tc>
        <w:tc>
          <w:tcPr>
            <w:tcW w:w="850" w:type="dxa"/>
            <w:gridSpan w:val="2"/>
            <w:vAlign w:val="center"/>
          </w:tcPr>
          <w:p w14:paraId="5E281309" w14:textId="77777777" w:rsidR="00816F7D" w:rsidRPr="0018624A" w:rsidRDefault="00816F7D" w:rsidP="00816F7D">
            <w:r w:rsidRPr="0018624A">
              <w:t>-0.05</w:t>
            </w:r>
          </w:p>
        </w:tc>
        <w:tc>
          <w:tcPr>
            <w:tcW w:w="900" w:type="dxa"/>
            <w:vAlign w:val="center"/>
          </w:tcPr>
          <w:p w14:paraId="426F269F" w14:textId="77777777" w:rsidR="00816F7D" w:rsidRPr="0018624A" w:rsidRDefault="00816F7D" w:rsidP="00816F7D">
            <w:r w:rsidRPr="0018624A">
              <w:t>.957</w:t>
            </w:r>
          </w:p>
        </w:tc>
        <w:tc>
          <w:tcPr>
            <w:tcW w:w="1200" w:type="dxa"/>
            <w:gridSpan w:val="2"/>
            <w:vAlign w:val="center"/>
          </w:tcPr>
          <w:p w14:paraId="3D29803F" w14:textId="77777777" w:rsidR="00816F7D" w:rsidRPr="0018624A" w:rsidRDefault="00816F7D" w:rsidP="00816F7D">
            <w:r w:rsidRPr="0018624A">
              <w:t>-.99</w:t>
            </w:r>
          </w:p>
        </w:tc>
        <w:tc>
          <w:tcPr>
            <w:tcW w:w="1200" w:type="dxa"/>
            <w:vAlign w:val="center"/>
          </w:tcPr>
          <w:p w14:paraId="7C29CC98" w14:textId="77777777" w:rsidR="00816F7D" w:rsidRPr="0018624A" w:rsidRDefault="00816F7D" w:rsidP="00816F7D">
            <w:r w:rsidRPr="0018624A">
              <w:t>.937</w:t>
            </w:r>
          </w:p>
        </w:tc>
        <w:tc>
          <w:tcPr>
            <w:tcW w:w="600" w:type="dxa"/>
            <w:vAlign w:val="center"/>
          </w:tcPr>
          <w:p w14:paraId="6A9AF002" w14:textId="77777777" w:rsidR="00816F7D" w:rsidRPr="0018624A" w:rsidRDefault="00816F7D" w:rsidP="00816F7D"/>
        </w:tc>
      </w:tr>
      <w:tr w:rsidR="00816F7D" w:rsidRPr="0018624A" w14:paraId="35B84BA4" w14:textId="77777777" w:rsidTr="00816F7D">
        <w:trPr>
          <w:gridAfter w:val="1"/>
          <w:wAfter w:w="16" w:type="dxa"/>
          <w:jc w:val="center"/>
        </w:trPr>
        <w:tc>
          <w:tcPr>
            <w:tcW w:w="1379" w:type="dxa"/>
            <w:vAlign w:val="center"/>
          </w:tcPr>
          <w:p w14:paraId="0B24362D" w14:textId="77777777" w:rsidR="00816F7D" w:rsidRPr="0018624A" w:rsidRDefault="00816F7D" w:rsidP="00816F7D">
            <w:r w:rsidRPr="0018624A">
              <w:t>Constant</w:t>
            </w:r>
          </w:p>
        </w:tc>
        <w:tc>
          <w:tcPr>
            <w:tcW w:w="1200" w:type="dxa"/>
            <w:gridSpan w:val="2"/>
            <w:vAlign w:val="center"/>
          </w:tcPr>
          <w:p w14:paraId="073F18AB" w14:textId="77777777" w:rsidR="00816F7D" w:rsidRPr="0018624A" w:rsidRDefault="00816F7D" w:rsidP="00816F7D">
            <w:r w:rsidRPr="0018624A">
              <w:t>-4.236</w:t>
            </w:r>
          </w:p>
        </w:tc>
        <w:tc>
          <w:tcPr>
            <w:tcW w:w="1200" w:type="dxa"/>
            <w:vAlign w:val="center"/>
          </w:tcPr>
          <w:p w14:paraId="1AA21411" w14:textId="77777777" w:rsidR="00816F7D" w:rsidRPr="0018624A" w:rsidRDefault="00816F7D" w:rsidP="00816F7D">
            <w:r w:rsidRPr="0018624A">
              <w:t>2.928</w:t>
            </w:r>
          </w:p>
        </w:tc>
        <w:tc>
          <w:tcPr>
            <w:tcW w:w="850" w:type="dxa"/>
            <w:gridSpan w:val="2"/>
            <w:vAlign w:val="center"/>
          </w:tcPr>
          <w:p w14:paraId="56E88FA4" w14:textId="77777777" w:rsidR="00816F7D" w:rsidRPr="0018624A" w:rsidRDefault="00816F7D" w:rsidP="00816F7D">
            <w:r w:rsidRPr="0018624A">
              <w:t>-1.45</w:t>
            </w:r>
          </w:p>
        </w:tc>
        <w:tc>
          <w:tcPr>
            <w:tcW w:w="900" w:type="dxa"/>
            <w:vAlign w:val="center"/>
          </w:tcPr>
          <w:p w14:paraId="32DB5AA6" w14:textId="77777777" w:rsidR="00816F7D" w:rsidRPr="0018624A" w:rsidRDefault="00816F7D" w:rsidP="00816F7D">
            <w:r w:rsidRPr="0018624A">
              <w:t>.148</w:t>
            </w:r>
          </w:p>
        </w:tc>
        <w:tc>
          <w:tcPr>
            <w:tcW w:w="1200" w:type="dxa"/>
            <w:gridSpan w:val="2"/>
            <w:vAlign w:val="center"/>
          </w:tcPr>
          <w:p w14:paraId="24316481" w14:textId="77777777" w:rsidR="00816F7D" w:rsidRPr="0018624A" w:rsidRDefault="00816F7D" w:rsidP="00816F7D">
            <w:r w:rsidRPr="0018624A">
              <w:t>-9.976</w:t>
            </w:r>
          </w:p>
        </w:tc>
        <w:tc>
          <w:tcPr>
            <w:tcW w:w="1200" w:type="dxa"/>
            <w:vAlign w:val="center"/>
          </w:tcPr>
          <w:p w14:paraId="15E9664F" w14:textId="77777777" w:rsidR="00816F7D" w:rsidRPr="0018624A" w:rsidRDefault="00816F7D" w:rsidP="00816F7D">
            <w:r w:rsidRPr="0018624A">
              <w:t>1.503</w:t>
            </w:r>
          </w:p>
        </w:tc>
        <w:tc>
          <w:tcPr>
            <w:tcW w:w="600" w:type="dxa"/>
            <w:vAlign w:val="center"/>
          </w:tcPr>
          <w:p w14:paraId="36069614" w14:textId="77777777" w:rsidR="00816F7D" w:rsidRPr="0018624A" w:rsidRDefault="00816F7D" w:rsidP="00816F7D"/>
        </w:tc>
      </w:tr>
      <w:tr w:rsidR="00816F7D" w:rsidRPr="0018624A" w14:paraId="37EF96CD" w14:textId="77777777" w:rsidTr="00816F7D">
        <w:trPr>
          <w:gridAfter w:val="1"/>
          <w:wAfter w:w="16" w:type="dxa"/>
          <w:jc w:val="center"/>
        </w:trPr>
        <w:tc>
          <w:tcPr>
            <w:tcW w:w="8529" w:type="dxa"/>
            <w:gridSpan w:val="11"/>
            <w:vAlign w:val="center"/>
          </w:tcPr>
          <w:p w14:paraId="7A3AAC44" w14:textId="77777777" w:rsidR="00816F7D" w:rsidRPr="0018624A" w:rsidRDefault="00816F7D" w:rsidP="00816F7D"/>
        </w:tc>
      </w:tr>
      <w:tr w:rsidR="00816F7D" w:rsidRPr="0018624A" w14:paraId="059F222C" w14:textId="77777777" w:rsidTr="00816F7D">
        <w:trPr>
          <w:jc w:val="center"/>
        </w:trPr>
        <w:tc>
          <w:tcPr>
            <w:tcW w:w="2079" w:type="dxa"/>
            <w:gridSpan w:val="2"/>
            <w:vAlign w:val="center"/>
          </w:tcPr>
          <w:p w14:paraId="7D79181A" w14:textId="77777777" w:rsidR="00816F7D" w:rsidRPr="0018624A" w:rsidRDefault="00816F7D" w:rsidP="00816F7D">
            <w:r w:rsidRPr="0018624A">
              <w:t>Mean dependent var</w:t>
            </w:r>
          </w:p>
        </w:tc>
        <w:tc>
          <w:tcPr>
            <w:tcW w:w="1750" w:type="dxa"/>
            <w:gridSpan w:val="3"/>
            <w:vAlign w:val="center"/>
          </w:tcPr>
          <w:p w14:paraId="299E9149" w14:textId="77777777" w:rsidR="00816F7D" w:rsidRPr="0018624A" w:rsidRDefault="00816F7D" w:rsidP="00816F7D">
            <w:r w:rsidRPr="0018624A">
              <w:t>1.469</w:t>
            </w:r>
          </w:p>
        </w:tc>
        <w:tc>
          <w:tcPr>
            <w:tcW w:w="2300" w:type="dxa"/>
            <w:gridSpan w:val="3"/>
            <w:vAlign w:val="center"/>
          </w:tcPr>
          <w:p w14:paraId="43387077" w14:textId="77777777" w:rsidR="00816F7D" w:rsidRPr="0018624A" w:rsidRDefault="00816F7D" w:rsidP="00816F7D">
            <w:r w:rsidRPr="0018624A">
              <w:t>SD dependent var</w:t>
            </w:r>
          </w:p>
        </w:tc>
        <w:tc>
          <w:tcPr>
            <w:tcW w:w="2416" w:type="dxa"/>
            <w:gridSpan w:val="4"/>
            <w:vAlign w:val="center"/>
          </w:tcPr>
          <w:p w14:paraId="673F61FD" w14:textId="77777777" w:rsidR="00816F7D" w:rsidRPr="0018624A" w:rsidRDefault="00816F7D" w:rsidP="00816F7D">
            <w:r w:rsidRPr="0018624A">
              <w:t>0.920</w:t>
            </w:r>
          </w:p>
        </w:tc>
      </w:tr>
      <w:tr w:rsidR="00816F7D" w:rsidRPr="0018624A" w14:paraId="3AC53707" w14:textId="77777777" w:rsidTr="00816F7D">
        <w:trPr>
          <w:jc w:val="center"/>
        </w:trPr>
        <w:tc>
          <w:tcPr>
            <w:tcW w:w="2079" w:type="dxa"/>
            <w:gridSpan w:val="2"/>
            <w:vAlign w:val="center"/>
          </w:tcPr>
          <w:p w14:paraId="44EE9DBE" w14:textId="77777777" w:rsidR="00816F7D" w:rsidRPr="0018624A" w:rsidRDefault="00816F7D" w:rsidP="00816F7D">
            <w:r w:rsidRPr="0018624A">
              <w:t>Overall r-squared</w:t>
            </w:r>
          </w:p>
        </w:tc>
        <w:tc>
          <w:tcPr>
            <w:tcW w:w="1750" w:type="dxa"/>
            <w:gridSpan w:val="3"/>
            <w:vAlign w:val="center"/>
          </w:tcPr>
          <w:p w14:paraId="11265EDD" w14:textId="77777777" w:rsidR="00816F7D" w:rsidRPr="0018624A" w:rsidRDefault="00816F7D" w:rsidP="00816F7D">
            <w:r w:rsidRPr="0018624A">
              <w:t>0.132</w:t>
            </w:r>
          </w:p>
        </w:tc>
        <w:tc>
          <w:tcPr>
            <w:tcW w:w="2300" w:type="dxa"/>
            <w:gridSpan w:val="3"/>
            <w:vAlign w:val="center"/>
          </w:tcPr>
          <w:p w14:paraId="0811F9CA" w14:textId="77777777" w:rsidR="00816F7D" w:rsidRPr="0018624A" w:rsidRDefault="00816F7D" w:rsidP="00816F7D">
            <w:r w:rsidRPr="0018624A">
              <w:t>Number of obs</w:t>
            </w:r>
          </w:p>
        </w:tc>
        <w:tc>
          <w:tcPr>
            <w:tcW w:w="2416" w:type="dxa"/>
            <w:gridSpan w:val="4"/>
            <w:vAlign w:val="center"/>
          </w:tcPr>
          <w:p w14:paraId="34A86205" w14:textId="77777777" w:rsidR="00816F7D" w:rsidRPr="0018624A" w:rsidRDefault="00816F7D" w:rsidP="00816F7D">
            <w:r w:rsidRPr="0018624A">
              <w:t>119.000</w:t>
            </w:r>
          </w:p>
        </w:tc>
      </w:tr>
      <w:tr w:rsidR="00816F7D" w:rsidRPr="0018624A" w14:paraId="1605EA54" w14:textId="77777777" w:rsidTr="00816F7D">
        <w:trPr>
          <w:jc w:val="center"/>
        </w:trPr>
        <w:tc>
          <w:tcPr>
            <w:tcW w:w="2079" w:type="dxa"/>
            <w:gridSpan w:val="2"/>
            <w:vAlign w:val="center"/>
          </w:tcPr>
          <w:p w14:paraId="3ADCDFE2" w14:textId="77777777" w:rsidR="00816F7D" w:rsidRPr="0018624A" w:rsidRDefault="00816F7D" w:rsidP="00816F7D">
            <w:r w:rsidRPr="0018624A">
              <w:t>Chi-square</w:t>
            </w:r>
          </w:p>
        </w:tc>
        <w:tc>
          <w:tcPr>
            <w:tcW w:w="1750" w:type="dxa"/>
            <w:gridSpan w:val="3"/>
            <w:vAlign w:val="center"/>
          </w:tcPr>
          <w:p w14:paraId="4685C0DC" w14:textId="77777777" w:rsidR="00816F7D" w:rsidRPr="0018624A" w:rsidRDefault="00816F7D" w:rsidP="00816F7D">
            <w:r w:rsidRPr="0018624A">
              <w:t>11.232</w:t>
            </w:r>
          </w:p>
        </w:tc>
        <w:tc>
          <w:tcPr>
            <w:tcW w:w="2300" w:type="dxa"/>
            <w:gridSpan w:val="3"/>
            <w:vAlign w:val="center"/>
          </w:tcPr>
          <w:p w14:paraId="14449702" w14:textId="77777777" w:rsidR="00816F7D" w:rsidRPr="0018624A" w:rsidRDefault="00816F7D" w:rsidP="00816F7D">
            <w:r w:rsidRPr="0018624A">
              <w:t>Prob &gt; chi2</w:t>
            </w:r>
          </w:p>
        </w:tc>
        <w:tc>
          <w:tcPr>
            <w:tcW w:w="2416" w:type="dxa"/>
            <w:gridSpan w:val="4"/>
            <w:vAlign w:val="center"/>
          </w:tcPr>
          <w:p w14:paraId="2661EE76" w14:textId="77777777" w:rsidR="00816F7D" w:rsidRPr="0018624A" w:rsidRDefault="00816F7D" w:rsidP="00816F7D">
            <w:r w:rsidRPr="0018624A">
              <w:t>0.047</w:t>
            </w:r>
          </w:p>
        </w:tc>
      </w:tr>
      <w:tr w:rsidR="00816F7D" w:rsidRPr="0018624A" w14:paraId="3D9DE1C8" w14:textId="77777777" w:rsidTr="00816F7D">
        <w:trPr>
          <w:jc w:val="center"/>
        </w:trPr>
        <w:tc>
          <w:tcPr>
            <w:tcW w:w="2079" w:type="dxa"/>
            <w:gridSpan w:val="2"/>
            <w:vAlign w:val="center"/>
          </w:tcPr>
          <w:p w14:paraId="7BFB5A99" w14:textId="77777777" w:rsidR="00816F7D" w:rsidRPr="0018624A" w:rsidRDefault="00816F7D" w:rsidP="00816F7D">
            <w:r w:rsidRPr="0018624A">
              <w:t>R-squared within</w:t>
            </w:r>
          </w:p>
        </w:tc>
        <w:tc>
          <w:tcPr>
            <w:tcW w:w="1750" w:type="dxa"/>
            <w:gridSpan w:val="3"/>
            <w:vAlign w:val="center"/>
          </w:tcPr>
          <w:p w14:paraId="74CFA7B9" w14:textId="77777777" w:rsidR="00816F7D" w:rsidRPr="0018624A" w:rsidRDefault="00816F7D" w:rsidP="00816F7D">
            <w:r w:rsidRPr="0018624A">
              <w:t>0.056</w:t>
            </w:r>
          </w:p>
        </w:tc>
        <w:tc>
          <w:tcPr>
            <w:tcW w:w="2300" w:type="dxa"/>
            <w:gridSpan w:val="3"/>
            <w:vAlign w:val="center"/>
          </w:tcPr>
          <w:p w14:paraId="5D62660E" w14:textId="77777777" w:rsidR="00816F7D" w:rsidRPr="0018624A" w:rsidRDefault="00816F7D" w:rsidP="00816F7D">
            <w:r w:rsidRPr="0018624A">
              <w:t>R-squared between</w:t>
            </w:r>
          </w:p>
        </w:tc>
        <w:tc>
          <w:tcPr>
            <w:tcW w:w="2416" w:type="dxa"/>
            <w:gridSpan w:val="4"/>
            <w:vAlign w:val="center"/>
          </w:tcPr>
          <w:p w14:paraId="22F21F0C" w14:textId="77777777" w:rsidR="00816F7D" w:rsidRPr="0018624A" w:rsidRDefault="00816F7D" w:rsidP="00816F7D">
            <w:r w:rsidRPr="0018624A">
              <w:t>0.482</w:t>
            </w:r>
          </w:p>
        </w:tc>
      </w:tr>
      <w:tr w:rsidR="00816F7D" w:rsidRPr="0018624A" w14:paraId="22CD59BE" w14:textId="77777777" w:rsidTr="00816F7D">
        <w:trPr>
          <w:gridAfter w:val="1"/>
          <w:wAfter w:w="16" w:type="dxa"/>
          <w:jc w:val="center"/>
        </w:trPr>
        <w:tc>
          <w:tcPr>
            <w:tcW w:w="8529" w:type="dxa"/>
            <w:gridSpan w:val="11"/>
            <w:vAlign w:val="center"/>
          </w:tcPr>
          <w:p w14:paraId="6CEB8800" w14:textId="77777777" w:rsidR="00816F7D" w:rsidRPr="0018624A" w:rsidRDefault="00816F7D" w:rsidP="00816F7D">
            <w:r w:rsidRPr="0018624A">
              <w:rPr>
                <w:i/>
                <w:iCs/>
              </w:rPr>
              <w:t>*** p&lt;.01, ** p&lt;.05, * p&lt;.1</w:t>
            </w:r>
          </w:p>
        </w:tc>
      </w:tr>
    </w:tbl>
    <w:p w14:paraId="0B30972E" w14:textId="62247283" w:rsidR="00CD49CE" w:rsidRDefault="00CD49CE" w:rsidP="00816F7D">
      <w:pPr>
        <w:rPr>
          <w:sz w:val="20"/>
          <w:szCs w:val="18"/>
        </w:rPr>
      </w:pPr>
    </w:p>
    <w:p w14:paraId="2B49EB46" w14:textId="4DD3B48B" w:rsidR="00CD49CE" w:rsidRDefault="00CD49CE" w:rsidP="00EF6E6D">
      <w:pPr>
        <w:rPr>
          <w:sz w:val="20"/>
          <w:szCs w:val="18"/>
        </w:rPr>
      </w:pPr>
    </w:p>
    <w:p w14:paraId="4DC229B6" w14:textId="2CC71691" w:rsidR="00CD49CE" w:rsidRDefault="00CD49CE" w:rsidP="00EF6E6D">
      <w:pPr>
        <w:rPr>
          <w:sz w:val="20"/>
          <w:szCs w:val="18"/>
        </w:rPr>
      </w:pPr>
    </w:p>
    <w:p w14:paraId="6CB97E48" w14:textId="232E868C" w:rsidR="00CD49CE" w:rsidRDefault="00CD49CE" w:rsidP="00EF6E6D">
      <w:pPr>
        <w:rPr>
          <w:sz w:val="20"/>
          <w:szCs w:val="18"/>
        </w:rPr>
      </w:pPr>
    </w:p>
    <w:p w14:paraId="4AEC5C09" w14:textId="6893A16E" w:rsidR="00CD49CE" w:rsidRDefault="00CD49CE" w:rsidP="00EF6E6D">
      <w:pPr>
        <w:rPr>
          <w:sz w:val="20"/>
          <w:szCs w:val="18"/>
        </w:rPr>
      </w:pPr>
    </w:p>
    <w:p w14:paraId="02A4E2D7" w14:textId="22F5139E" w:rsidR="00CD49CE" w:rsidRPr="00D61E23" w:rsidRDefault="00CD49CE" w:rsidP="00EF6E6D">
      <w:pPr>
        <w:rPr>
          <w:sz w:val="20"/>
          <w:szCs w:val="18"/>
        </w:rPr>
      </w:pPr>
    </w:p>
    <w:sectPr w:rsidR="00CD49CE" w:rsidRPr="00D61E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3103" w14:textId="77777777" w:rsidR="00AB053A" w:rsidRDefault="00AB053A" w:rsidP="00DD2A1D">
      <w:pPr>
        <w:spacing w:after="0" w:line="240" w:lineRule="auto"/>
      </w:pPr>
      <w:r>
        <w:separator/>
      </w:r>
    </w:p>
  </w:endnote>
  <w:endnote w:type="continuationSeparator" w:id="0">
    <w:p w14:paraId="5500053C" w14:textId="77777777" w:rsidR="00AB053A" w:rsidRDefault="00AB053A" w:rsidP="00DD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376629"/>
      <w:docPartObj>
        <w:docPartGallery w:val="Page Numbers (Bottom of Page)"/>
        <w:docPartUnique/>
      </w:docPartObj>
    </w:sdtPr>
    <w:sdtEndPr/>
    <w:sdtContent>
      <w:p w14:paraId="195F3F21" w14:textId="5A3BA089" w:rsidR="008237CC" w:rsidRDefault="008237CC">
        <w:pPr>
          <w:pStyle w:val="Footer"/>
        </w:pPr>
        <w:r>
          <w:rPr>
            <w:noProof/>
          </w:rPr>
          <mc:AlternateContent>
            <mc:Choice Requires="wps">
              <w:drawing>
                <wp:anchor distT="0" distB="0" distL="114300" distR="114300" simplePos="0" relativeHeight="251659264" behindDoc="0" locked="0" layoutInCell="1" allowOverlap="1" wp14:anchorId="64F281A3" wp14:editId="61E3B94C">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66448C5" w14:textId="77777777" w:rsidR="008237CC" w:rsidRDefault="008237CC">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4F281A3" id="Rectangle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ap+gEAAM0DAAAOAAAAZHJzL2Uyb0RvYy54bWysU8Fu2zAMvQ/YPwi6L7aDpkmNOEXRotuA&#10;bi3W9QMUWYqFyaJGKbGzrx+lZGm73Yr5IIjU0xPfI728HHvLdgqDAdfwalJyppyE1rhNw5++335Y&#10;cBaicK2w4FTD9yrwy9X7d8vB12oKHdhWISMSF+rBN7yL0ddFEWSnehEm4JWjQw3Yi0ghbooWxUDs&#10;vS2mZXleDICtR5AqBMreHA75KvNrrWS81zqoyGzDqbaYV8zrOq3FainqDQrfGXksQ7yhil4YR4+e&#10;qG5EFGyL5h+q3kiEADpOJPQFaG2kyhpITVX+peaxE15lLWRO8Cebwv+jlV93D8hM2/ApZ0701KJv&#10;ZJpwG6vYNNkz+FAT6tE/YBIY/B3IH4E5uO4Ipa4QYeiUaKmoKuGLVxdSEOgqWw9foCV2sY2QnRo1&#10;9gyBOlKVizJ9nGlr/KfEk14ic9iYO7U/dUqNkUlKzs5n88WMM0lH1UU1n+dOFqJOrOmyxxA/KuhZ&#10;2jQcSVMmFbu7EFOVz5AEd3BrrM3DYN2rBAFTJqtKQg6GxHE9Hr1ZQ7snfVkJSaB/gd7rAH9xNtBc&#10;NTz83ApUnNnPjjy6qM7O0iDmgDb4Mrv+kxVOEkXDI2eH7XU8DO3Wo9l0ybQsx8EV+alNlpS8PlRz&#10;rJdmJis9zncaypdxRj3/havfAAAA//8DAFBLAwQUAAYACAAAACEAI+V68dsAAAADAQAADwAAAGRy&#10;cy9kb3ducmV2LnhtbEyPT0vDQBDF70K/wzIFb3bTVqSmmRQRBPFPo1U8b7PTJJidjdltG799Ry96&#10;GXi8x3u/yVaDa9WB+tB4RphOElDEpbcNVwjvb3cXC1AhGram9UwI3xRglY/OMpNaf+RXOmxipaSE&#10;Q2oQ6hi7VOtQ1uRMmPiOWLyd752JIvtK294cpdy1epYkV9qZhmWhNh3d1lR+bvYOwX98Pdpi7Z61&#10;LtZP5f3l/OWhYMTz8XCzBBVpiH9h+MEXdMiFaev3bINqEeSR+HvFW1xPQW0R5skMdJ7p/+z5CQAA&#10;//8DAFBLAQItABQABgAIAAAAIQC2gziS/gAAAOEBAAATAAAAAAAAAAAAAAAAAAAAAABbQ29udGVu&#10;dF9UeXBlc10ueG1sUEsBAi0AFAAGAAgAAAAhADj9If/WAAAAlAEAAAsAAAAAAAAAAAAAAAAALwEA&#10;AF9yZWxzLy5yZWxzUEsBAi0AFAAGAAgAAAAhAJwFBqn6AQAAzQMAAA4AAAAAAAAAAAAAAAAALgIA&#10;AGRycy9lMm9Eb2MueG1sUEsBAi0AFAAGAAgAAAAhACPlevHbAAAAAwEAAA8AAAAAAAAAAAAAAAAA&#10;VAQAAGRycy9kb3ducmV2LnhtbFBLBQYAAAAABAAEAPMAAABcBQAAAAA=&#10;" filled="f" fillcolor="#c0504d" stroked="f" strokecolor="#5c83b4" strokeweight="2.25pt">
                  <v:textbox inset=",0,,0">
                    <w:txbxContent>
                      <w:p w14:paraId="466448C5" w14:textId="77777777" w:rsidR="008237CC" w:rsidRDefault="008237CC">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CECBD" w14:textId="77777777" w:rsidR="00AB053A" w:rsidRDefault="00AB053A" w:rsidP="00DD2A1D">
      <w:pPr>
        <w:spacing w:after="0" w:line="240" w:lineRule="auto"/>
      </w:pPr>
      <w:r>
        <w:separator/>
      </w:r>
    </w:p>
  </w:footnote>
  <w:footnote w:type="continuationSeparator" w:id="0">
    <w:p w14:paraId="6233559F" w14:textId="77777777" w:rsidR="00AB053A" w:rsidRDefault="00AB053A" w:rsidP="00DD2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3E1"/>
    <w:multiLevelType w:val="hybridMultilevel"/>
    <w:tmpl w:val="1C2C3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8B7"/>
    <w:multiLevelType w:val="hybridMultilevel"/>
    <w:tmpl w:val="E7B4A36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60CEB"/>
    <w:multiLevelType w:val="hybridMultilevel"/>
    <w:tmpl w:val="FD9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63BE"/>
    <w:multiLevelType w:val="hybridMultilevel"/>
    <w:tmpl w:val="6F30149A"/>
    <w:lvl w:ilvl="0" w:tplc="DDFED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15399"/>
    <w:multiLevelType w:val="hybridMultilevel"/>
    <w:tmpl w:val="A12CA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E4897"/>
    <w:multiLevelType w:val="multilevel"/>
    <w:tmpl w:val="83DCF746"/>
    <w:lvl w:ilvl="0">
      <w:start w:val="1"/>
      <w:numFmt w:val="none"/>
      <w:pStyle w:val="Heading1"/>
      <w:suff w:val="space"/>
      <w:lvlText w:val=""/>
      <w:lvlJc w:val="left"/>
      <w:pPr>
        <w:ind w:left="0" w:firstLine="0"/>
      </w:pPr>
      <w:rPr>
        <w:rFonts w:hint="default"/>
      </w:rPr>
    </w:lvl>
    <w:lvl w:ilvl="1">
      <w:start w:val="1"/>
      <w:numFmt w:val="decimal"/>
      <w:pStyle w:val="Heading2"/>
      <w:suff w:val="space"/>
      <w:lvlText w:val="%2."/>
      <w:lvlJc w:val="left"/>
      <w:pPr>
        <w:ind w:left="0" w:firstLine="0"/>
      </w:pPr>
      <w:rPr>
        <w:rFonts w:hint="default"/>
      </w:rPr>
    </w:lvl>
    <w:lvl w:ilvl="2">
      <w:start w:val="1"/>
      <w:numFmt w:val="decimal"/>
      <w:pStyle w:val="Heading3"/>
      <w:suff w:val="space"/>
      <w:lvlText w:val="%2.%3"/>
      <w:lvlJc w:val="left"/>
      <w:pPr>
        <w:ind w:left="0" w:firstLine="0"/>
      </w:pPr>
      <w:rPr>
        <w:rFonts w:hint="default"/>
      </w:rPr>
    </w:lvl>
    <w:lvl w:ilvl="3">
      <w:start w:val="1"/>
      <w:numFmt w:val="decimal"/>
      <w:pStyle w:val="Heading4"/>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8D551B6"/>
    <w:multiLevelType w:val="hybridMultilevel"/>
    <w:tmpl w:val="B56463E0"/>
    <w:lvl w:ilvl="0" w:tplc="310ACB5A">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 w15:restartNumberingAfterBreak="0">
    <w:nsid w:val="1A777870"/>
    <w:multiLevelType w:val="multilevel"/>
    <w:tmpl w:val="66182550"/>
    <w:lvl w:ilvl="0">
      <w:start w:val="1"/>
      <w:numFmt w:val="decimal"/>
      <w:suff w:val="space"/>
      <w:lvlText w:val="Chapter  %1"/>
      <w:lvlJc w:val="left"/>
      <w:pPr>
        <w:ind w:left="0" w:firstLine="0"/>
      </w:pPr>
      <w:rPr>
        <w:rFonts w:cs="Times New Roman" w:hint="default"/>
        <w:bCs/>
        <w:iCs w:val="0"/>
        <w:sz w:val="36"/>
        <w:szCs w:val="36"/>
      </w:rPr>
    </w:lvl>
    <w:lvl w:ilvl="1">
      <w:start w:val="1"/>
      <w:numFmt w:val="decimal"/>
      <w:suff w:val="space"/>
      <w:lvlText w:val="%1.%2"/>
      <w:lvlJc w:val="left"/>
      <w:pPr>
        <w:ind w:left="0" w:firstLine="0"/>
      </w:pPr>
      <w:rPr>
        <w:rFonts w:ascii="Times New Roman" w:hAnsi="Times New Roman" w:cs="Times New Roman" w:hint="default"/>
        <w:b/>
        <w:bCs/>
        <w:i w:val="0"/>
        <w:iCs w:val="0"/>
        <w:sz w:val="32"/>
        <w:szCs w:val="32"/>
      </w:rPr>
    </w:lvl>
    <w:lvl w:ilvl="2">
      <w:start w:val="1"/>
      <w:numFmt w:val="decimal"/>
      <w:suff w:val="space"/>
      <w:lvlText w:val="%1.%2.%3"/>
      <w:lvlJc w:val="left"/>
      <w:pPr>
        <w:ind w:left="0" w:firstLine="0"/>
      </w:pPr>
      <w:rPr>
        <w:rFonts w:ascii="Times New Roman" w:hAnsi="Times New Roman" w:cs="Times New Roman" w:hint="default"/>
        <w:b/>
        <w:bCs/>
        <w:i w:val="0"/>
        <w:iCs w:val="0"/>
        <w:sz w:val="28"/>
        <w:szCs w:val="28"/>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0981C77"/>
    <w:multiLevelType w:val="hybridMultilevel"/>
    <w:tmpl w:val="FC365222"/>
    <w:lvl w:ilvl="0" w:tplc="3F32E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438AC"/>
    <w:multiLevelType w:val="hybridMultilevel"/>
    <w:tmpl w:val="D09C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73610"/>
    <w:multiLevelType w:val="hybridMultilevel"/>
    <w:tmpl w:val="A89E36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13916"/>
    <w:multiLevelType w:val="hybridMultilevel"/>
    <w:tmpl w:val="710EA298"/>
    <w:lvl w:ilvl="0" w:tplc="ED880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8587C"/>
    <w:multiLevelType w:val="multilevel"/>
    <w:tmpl w:val="91D64EEE"/>
    <w:lvl w:ilvl="0">
      <w:start w:val="1"/>
      <w:numFmt w:val="none"/>
      <w:suff w:val="space"/>
      <w:lvlText w:val=""/>
      <w:lvlJc w:val="left"/>
      <w:pPr>
        <w:ind w:left="360" w:hanging="360"/>
      </w:pPr>
      <w:rPr>
        <w:rFonts w:cs="Times New Roman" w:hint="default"/>
        <w:bCs/>
        <w:iCs w:val="0"/>
        <w:szCs w:val="32"/>
      </w:rPr>
    </w:lvl>
    <w:lvl w:ilvl="1">
      <w:start w:val="1"/>
      <w:numFmt w:val="decimal"/>
      <w:suff w:val="space"/>
      <w:lvlText w:val="%2.0"/>
      <w:lvlJc w:val="left"/>
      <w:pPr>
        <w:ind w:left="792" w:hanging="432"/>
      </w:pPr>
      <w:rPr>
        <w:rFonts w:cs="Times New Roman" w:hint="default"/>
        <w:bCs/>
        <w:iCs w:val="0"/>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cs="Times New Roman" w:hint="default"/>
        <w:bCs/>
        <w:iCs w:val="0"/>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B61C37"/>
    <w:multiLevelType w:val="multilevel"/>
    <w:tmpl w:val="CE7017FE"/>
    <w:lvl w:ilvl="0">
      <w:start w:val="1"/>
      <w:numFmt w:val="decimal"/>
      <w:suff w:val="space"/>
      <w:lvlText w:val="Chapter  %1"/>
      <w:lvlJc w:val="left"/>
      <w:pPr>
        <w:ind w:left="0" w:firstLine="0"/>
      </w:pPr>
      <w:rPr>
        <w:rFonts w:cs="Times New Roman" w:hint="default"/>
        <w:bCs/>
        <w:iCs w:val="0"/>
        <w:sz w:val="36"/>
        <w:szCs w:val="36"/>
      </w:rPr>
    </w:lvl>
    <w:lvl w:ilvl="1">
      <w:start w:val="1"/>
      <w:numFmt w:val="decimal"/>
      <w:suff w:val="space"/>
      <w:lvlText w:val="%1.%2"/>
      <w:lvlJc w:val="left"/>
      <w:pPr>
        <w:ind w:left="0" w:firstLine="0"/>
      </w:pPr>
      <w:rPr>
        <w:rFonts w:ascii="Times New Roman" w:hAnsi="Times New Roman" w:cs="Times New Roman" w:hint="default"/>
        <w:b/>
        <w:bCs/>
        <w:i w:val="0"/>
        <w:iCs w:val="0"/>
        <w:sz w:val="32"/>
        <w:szCs w:val="32"/>
      </w:rPr>
    </w:lvl>
    <w:lvl w:ilvl="2">
      <w:start w:val="1"/>
      <w:numFmt w:val="decimal"/>
      <w:suff w:val="space"/>
      <w:lvlText w:val="%1.%2.%3"/>
      <w:lvlJc w:val="left"/>
      <w:pPr>
        <w:ind w:left="0" w:firstLine="0"/>
      </w:pPr>
      <w:rPr>
        <w:rFonts w:ascii="Times New Roman" w:hAnsi="Times New Roman" w:cs="Times New Roman" w:hint="default"/>
        <w:b/>
        <w:bCs/>
        <w:i w:val="0"/>
        <w:iCs w:val="0"/>
        <w:sz w:val="28"/>
        <w:szCs w:val="28"/>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4224496"/>
    <w:multiLevelType w:val="hybridMultilevel"/>
    <w:tmpl w:val="23E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500AC"/>
    <w:multiLevelType w:val="multilevel"/>
    <w:tmpl w:val="EC2CDE50"/>
    <w:lvl w:ilvl="0">
      <w:start w:val="1"/>
      <w:numFmt w:val="decimal"/>
      <w:suff w:val="space"/>
      <w:lvlText w:val="Chapter  %1"/>
      <w:lvlJc w:val="left"/>
      <w:pPr>
        <w:ind w:left="0" w:firstLine="0"/>
      </w:pPr>
      <w:rPr>
        <w:rFonts w:cs="Times New Roman" w:hint="default"/>
        <w:bCs/>
        <w:iCs w:val="0"/>
        <w:sz w:val="36"/>
        <w:szCs w:val="36"/>
      </w:rPr>
    </w:lvl>
    <w:lvl w:ilvl="1">
      <w:start w:val="1"/>
      <w:numFmt w:val="decimal"/>
      <w:suff w:val="space"/>
      <w:lvlText w:val="%1.%2"/>
      <w:lvlJc w:val="left"/>
      <w:pPr>
        <w:ind w:left="0" w:firstLine="0"/>
      </w:pPr>
      <w:rPr>
        <w:rFonts w:ascii="Times New Roman" w:hAnsi="Times New Roman" w:cs="Times New Roman" w:hint="default"/>
        <w:b/>
        <w:bCs/>
        <w:i w:val="0"/>
        <w:iCs w:val="0"/>
        <w:sz w:val="32"/>
        <w:szCs w:val="32"/>
      </w:rPr>
    </w:lvl>
    <w:lvl w:ilvl="2">
      <w:start w:val="1"/>
      <w:numFmt w:val="decimal"/>
      <w:suff w:val="space"/>
      <w:lvlText w:val="%1.%2.%3"/>
      <w:lvlJc w:val="left"/>
      <w:pPr>
        <w:ind w:left="0" w:firstLine="0"/>
      </w:pPr>
      <w:rPr>
        <w:rFonts w:ascii="Times New Roman" w:hAnsi="Times New Roman" w:cs="Times New Roman" w:hint="default"/>
        <w:b/>
        <w:bCs/>
        <w:i w:val="0"/>
        <w:iCs w:val="0"/>
        <w:sz w:val="28"/>
        <w:szCs w:val="28"/>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5C34107"/>
    <w:multiLevelType w:val="multilevel"/>
    <w:tmpl w:val="9828B2C8"/>
    <w:lvl w:ilvl="0">
      <w:start w:val="1"/>
      <w:numFmt w:val="none"/>
      <w:suff w:val="space"/>
      <w:lvlText w:val=""/>
      <w:lvlJc w:val="left"/>
      <w:pPr>
        <w:ind w:left="360" w:hanging="360"/>
      </w:pPr>
      <w:rPr>
        <w:rFonts w:hint="default"/>
      </w:rPr>
    </w:lvl>
    <w:lvl w:ilvl="1">
      <w:start w:val="1"/>
      <w:numFmt w:val="decimal"/>
      <w:suff w:val="space"/>
      <w:lvlText w:val="%2."/>
      <w:lvlJc w:val="left"/>
      <w:pPr>
        <w:ind w:left="720" w:hanging="360"/>
      </w:pPr>
      <w:rPr>
        <w:rFonts w:hint="default"/>
      </w:rPr>
    </w:lvl>
    <w:lvl w:ilvl="2">
      <w:start w:val="1"/>
      <w:numFmt w:val="decimal"/>
      <w:suff w:val="space"/>
      <w:lvlText w:val="%2.%3"/>
      <w:lvlJc w:val="left"/>
      <w:pPr>
        <w:ind w:left="1080" w:hanging="360"/>
      </w:pPr>
      <w:rPr>
        <w:rFonts w:hint="default"/>
      </w:rPr>
    </w:lvl>
    <w:lvl w:ilvl="3">
      <w:start w:val="1"/>
      <w:numFmt w:val="decimal"/>
      <w:suff w:val="space"/>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D3455A"/>
    <w:multiLevelType w:val="hybridMultilevel"/>
    <w:tmpl w:val="17D25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B1F3A"/>
    <w:multiLevelType w:val="hybridMultilevel"/>
    <w:tmpl w:val="B75E21C4"/>
    <w:lvl w:ilvl="0" w:tplc="3300F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75A76"/>
    <w:multiLevelType w:val="hybridMultilevel"/>
    <w:tmpl w:val="3E4C7532"/>
    <w:lvl w:ilvl="0" w:tplc="4E2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53DE2"/>
    <w:multiLevelType w:val="hybridMultilevel"/>
    <w:tmpl w:val="E57E9080"/>
    <w:lvl w:ilvl="0" w:tplc="E000F8F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43AF5ED0"/>
    <w:multiLevelType w:val="hybridMultilevel"/>
    <w:tmpl w:val="08F61AF6"/>
    <w:lvl w:ilvl="0" w:tplc="7BD2B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A3C50"/>
    <w:multiLevelType w:val="hybridMultilevel"/>
    <w:tmpl w:val="526EA180"/>
    <w:lvl w:ilvl="0" w:tplc="9CCA5C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074F1D"/>
    <w:multiLevelType w:val="multilevel"/>
    <w:tmpl w:val="6EECD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CA40214"/>
    <w:multiLevelType w:val="multilevel"/>
    <w:tmpl w:val="F566D706"/>
    <w:lvl w:ilvl="0">
      <w:start w:val="2"/>
      <w:numFmt w:val="decimal"/>
      <w:lvlText w:val="%1"/>
      <w:lvlJc w:val="left"/>
      <w:pPr>
        <w:ind w:left="375" w:hanging="375"/>
      </w:pPr>
      <w:rPr>
        <w:rFonts w:eastAsiaTheme="majorEastAsia" w:cs="Simplified Arabic" w:hint="default"/>
      </w:rPr>
    </w:lvl>
    <w:lvl w:ilvl="1">
      <w:start w:val="3"/>
      <w:numFmt w:val="decimal"/>
      <w:lvlText w:val="%1.%2"/>
      <w:lvlJc w:val="left"/>
      <w:pPr>
        <w:ind w:left="375" w:hanging="375"/>
      </w:pPr>
      <w:rPr>
        <w:rFonts w:eastAsiaTheme="majorEastAsia" w:cs="Simplified Arabic" w:hint="default"/>
      </w:rPr>
    </w:lvl>
    <w:lvl w:ilvl="2">
      <w:start w:val="1"/>
      <w:numFmt w:val="decimal"/>
      <w:lvlText w:val="%1.%2.%3"/>
      <w:lvlJc w:val="left"/>
      <w:pPr>
        <w:ind w:left="720" w:hanging="720"/>
      </w:pPr>
      <w:rPr>
        <w:rFonts w:eastAsiaTheme="majorEastAsia" w:cs="Simplified Arabic" w:hint="default"/>
      </w:rPr>
    </w:lvl>
    <w:lvl w:ilvl="3">
      <w:start w:val="1"/>
      <w:numFmt w:val="decimal"/>
      <w:lvlText w:val="%1.%2.%3.%4"/>
      <w:lvlJc w:val="left"/>
      <w:pPr>
        <w:ind w:left="720" w:hanging="720"/>
      </w:pPr>
      <w:rPr>
        <w:rFonts w:eastAsiaTheme="majorEastAsia" w:cs="Simplified Arabic" w:hint="default"/>
      </w:rPr>
    </w:lvl>
    <w:lvl w:ilvl="4">
      <w:start w:val="1"/>
      <w:numFmt w:val="decimal"/>
      <w:lvlText w:val="%1.%2.%3.%4.%5"/>
      <w:lvlJc w:val="left"/>
      <w:pPr>
        <w:ind w:left="1080" w:hanging="1080"/>
      </w:pPr>
      <w:rPr>
        <w:rFonts w:eastAsiaTheme="majorEastAsia" w:cs="Simplified Arabic" w:hint="default"/>
      </w:rPr>
    </w:lvl>
    <w:lvl w:ilvl="5">
      <w:start w:val="1"/>
      <w:numFmt w:val="decimal"/>
      <w:lvlText w:val="%1.%2.%3.%4.%5.%6"/>
      <w:lvlJc w:val="left"/>
      <w:pPr>
        <w:ind w:left="1080" w:hanging="1080"/>
      </w:pPr>
      <w:rPr>
        <w:rFonts w:eastAsiaTheme="majorEastAsia" w:cs="Simplified Arabic" w:hint="default"/>
      </w:rPr>
    </w:lvl>
    <w:lvl w:ilvl="6">
      <w:start w:val="1"/>
      <w:numFmt w:val="decimal"/>
      <w:lvlText w:val="%1.%2.%3.%4.%5.%6.%7"/>
      <w:lvlJc w:val="left"/>
      <w:pPr>
        <w:ind w:left="1440" w:hanging="1440"/>
      </w:pPr>
      <w:rPr>
        <w:rFonts w:eastAsiaTheme="majorEastAsia" w:cs="Simplified Arabic" w:hint="default"/>
      </w:rPr>
    </w:lvl>
    <w:lvl w:ilvl="7">
      <w:start w:val="1"/>
      <w:numFmt w:val="decimal"/>
      <w:lvlText w:val="%1.%2.%3.%4.%5.%6.%7.%8"/>
      <w:lvlJc w:val="left"/>
      <w:pPr>
        <w:ind w:left="1440" w:hanging="1440"/>
      </w:pPr>
      <w:rPr>
        <w:rFonts w:eastAsiaTheme="majorEastAsia" w:cs="Simplified Arabic" w:hint="default"/>
      </w:rPr>
    </w:lvl>
    <w:lvl w:ilvl="8">
      <w:start w:val="1"/>
      <w:numFmt w:val="decimal"/>
      <w:lvlText w:val="%1.%2.%3.%4.%5.%6.%7.%8.%9"/>
      <w:lvlJc w:val="left"/>
      <w:pPr>
        <w:ind w:left="1800" w:hanging="1800"/>
      </w:pPr>
      <w:rPr>
        <w:rFonts w:eastAsiaTheme="majorEastAsia" w:cs="Simplified Arabic" w:hint="default"/>
      </w:rPr>
    </w:lvl>
  </w:abstractNum>
  <w:abstractNum w:abstractNumId="25" w15:restartNumberingAfterBreak="0">
    <w:nsid w:val="52542BF7"/>
    <w:multiLevelType w:val="hybridMultilevel"/>
    <w:tmpl w:val="AA9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15AA2"/>
    <w:multiLevelType w:val="hybridMultilevel"/>
    <w:tmpl w:val="F5CAF820"/>
    <w:lvl w:ilvl="0" w:tplc="55423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0250B"/>
    <w:multiLevelType w:val="hybridMultilevel"/>
    <w:tmpl w:val="AF561F84"/>
    <w:lvl w:ilvl="0" w:tplc="E19475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C24399"/>
    <w:multiLevelType w:val="hybridMultilevel"/>
    <w:tmpl w:val="B7BAE9EC"/>
    <w:lvl w:ilvl="0" w:tplc="A580B21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1229C"/>
    <w:multiLevelType w:val="hybridMultilevel"/>
    <w:tmpl w:val="0E80A536"/>
    <w:lvl w:ilvl="0" w:tplc="B304360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C68B6"/>
    <w:multiLevelType w:val="multilevel"/>
    <w:tmpl w:val="24263F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42059F"/>
    <w:multiLevelType w:val="hybridMultilevel"/>
    <w:tmpl w:val="B980EFB8"/>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471A4"/>
    <w:multiLevelType w:val="hybridMultilevel"/>
    <w:tmpl w:val="7BAC005E"/>
    <w:lvl w:ilvl="0" w:tplc="049040A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46467"/>
    <w:multiLevelType w:val="hybridMultilevel"/>
    <w:tmpl w:val="65FE1CB4"/>
    <w:lvl w:ilvl="0" w:tplc="04090011">
      <w:start w:val="1"/>
      <w:numFmt w:val="decimal"/>
      <w:lvlText w:val="%1)"/>
      <w:lvlJc w:val="left"/>
      <w:pPr>
        <w:ind w:left="720" w:hanging="360"/>
      </w:pPr>
    </w:lvl>
    <w:lvl w:ilvl="1" w:tplc="3170E7E0">
      <w:start w:val="1"/>
      <w:numFmt w:val="upperLetter"/>
      <w:lvlText w:val="%2-"/>
      <w:lvlJc w:val="left"/>
      <w:pPr>
        <w:ind w:left="1440" w:hanging="360"/>
      </w:pPr>
      <w:rPr>
        <w:rFonts w:hint="default"/>
      </w:r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5283F"/>
    <w:multiLevelType w:val="hybridMultilevel"/>
    <w:tmpl w:val="E0DA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E1CE4"/>
    <w:multiLevelType w:val="hybridMultilevel"/>
    <w:tmpl w:val="D66A2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C7C52"/>
    <w:multiLevelType w:val="hybridMultilevel"/>
    <w:tmpl w:val="C898F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736EE"/>
    <w:multiLevelType w:val="multilevel"/>
    <w:tmpl w:val="2488E6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lvlOverride w:ilvl="0">
      <w:lvl w:ilvl="0">
        <w:start w:val="1"/>
        <w:numFmt w:val="none"/>
        <w:suff w:val="space"/>
        <w:lvlText w:val=""/>
        <w:lvlJc w:val="left"/>
        <w:pPr>
          <w:ind w:left="360" w:hanging="360"/>
        </w:pPr>
        <w:rPr>
          <w:rFonts w:cs="Times New Roman" w:hint="default"/>
          <w:bCs/>
          <w:iCs w:val="0"/>
          <w:szCs w:val="32"/>
        </w:rPr>
      </w:lvl>
    </w:lvlOverride>
    <w:lvlOverride w:ilvl="1">
      <w:lvl w:ilvl="1">
        <w:start w:val="1"/>
        <w:numFmt w:val="decimal"/>
        <w:suff w:val="space"/>
        <w:lvlText w:val="%2."/>
        <w:lvlJc w:val="left"/>
        <w:pPr>
          <w:ind w:left="792" w:hanging="432"/>
        </w:pPr>
        <w:rPr>
          <w:rFonts w:cs="Times New Roman" w:hint="default"/>
          <w:bCs/>
          <w:iCs w:val="0"/>
          <w:szCs w:val="28"/>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cs="Times New Roman" w:hint="default"/>
          <w:bCs/>
          <w:iCs w:val="0"/>
          <w:szCs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12"/>
  </w:num>
  <w:num w:numId="3">
    <w:abstractNumId w:val="12"/>
  </w:num>
  <w:num w:numId="4">
    <w:abstractNumId w:val="12"/>
  </w:num>
  <w:num w:numId="5">
    <w:abstractNumId w:val="12"/>
    <w:lvlOverride w:ilvl="0">
      <w:lvl w:ilvl="0">
        <w:start w:val="1"/>
        <w:numFmt w:val="none"/>
        <w:suff w:val="space"/>
        <w:lvlText w:val=""/>
        <w:lvlJc w:val="left"/>
        <w:pPr>
          <w:ind w:left="360" w:hanging="360"/>
        </w:pPr>
        <w:rPr>
          <w:rFonts w:cs="Times New Roman" w:hint="default"/>
          <w:bCs/>
          <w:iCs w:val="0"/>
          <w:szCs w:val="32"/>
        </w:rPr>
      </w:lvl>
    </w:lvlOverride>
    <w:lvlOverride w:ilvl="1">
      <w:lvl w:ilvl="1">
        <w:start w:val="1"/>
        <w:numFmt w:val="decimal"/>
        <w:suff w:val="space"/>
        <w:lvlText w:val="%2."/>
        <w:lvlJc w:val="left"/>
        <w:pPr>
          <w:ind w:left="792" w:hanging="432"/>
        </w:pPr>
        <w:rPr>
          <w:rFonts w:cs="Times New Roman" w:hint="default"/>
          <w:bCs/>
          <w:iCs w:val="0"/>
          <w:szCs w:val="28"/>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cs="Times New Roman" w:hint="default"/>
          <w:bCs/>
          <w:iCs w:val="0"/>
          <w:szCs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2"/>
    <w:lvlOverride w:ilvl="0">
      <w:lvl w:ilvl="0">
        <w:start w:val="1"/>
        <w:numFmt w:val="none"/>
        <w:suff w:val="space"/>
        <w:lvlText w:val=""/>
        <w:lvlJc w:val="left"/>
        <w:pPr>
          <w:ind w:left="360" w:hanging="360"/>
        </w:pPr>
        <w:rPr>
          <w:rFonts w:cs="Times New Roman" w:hint="default"/>
          <w:bCs/>
          <w:iCs w:val="0"/>
          <w:szCs w:val="32"/>
        </w:rPr>
      </w:lvl>
    </w:lvlOverride>
    <w:lvlOverride w:ilvl="1">
      <w:lvl w:ilvl="1">
        <w:start w:val="1"/>
        <w:numFmt w:val="decimal"/>
        <w:suff w:val="space"/>
        <w:lvlText w:val="%2."/>
        <w:lvlJc w:val="left"/>
        <w:pPr>
          <w:ind w:left="792" w:hanging="432"/>
        </w:pPr>
        <w:rPr>
          <w:rFonts w:cs="Times New Roman" w:hint="default"/>
          <w:bCs/>
          <w:iCs w:val="0"/>
          <w:szCs w:val="28"/>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cs="Times New Roman" w:hint="default"/>
          <w:bCs/>
          <w:iCs w:val="0"/>
          <w:szCs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3"/>
  </w:num>
  <w:num w:numId="8">
    <w:abstractNumId w:val="16"/>
  </w:num>
  <w:num w:numId="9">
    <w:abstractNumId w:val="16"/>
  </w:num>
  <w:num w:numId="10">
    <w:abstractNumId w:val="37"/>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8"/>
  </w:num>
  <w:num w:numId="16">
    <w:abstractNumId w:val="36"/>
  </w:num>
  <w:num w:numId="17">
    <w:abstractNumId w:val="13"/>
  </w:num>
  <w:num w:numId="18">
    <w:abstractNumId w:val="9"/>
  </w:num>
  <w:num w:numId="19">
    <w:abstractNumId w:val="34"/>
  </w:num>
  <w:num w:numId="20">
    <w:abstractNumId w:val="3"/>
  </w:num>
  <w:num w:numId="21">
    <w:abstractNumId w:val="32"/>
  </w:num>
  <w:num w:numId="22">
    <w:abstractNumId w:val="18"/>
  </w:num>
  <w:num w:numId="23">
    <w:abstractNumId w:val="21"/>
  </w:num>
  <w:num w:numId="24">
    <w:abstractNumId w:val="20"/>
  </w:num>
  <w:num w:numId="25">
    <w:abstractNumId w:val="26"/>
  </w:num>
  <w:num w:numId="26">
    <w:abstractNumId w:val="11"/>
  </w:num>
  <w:num w:numId="27">
    <w:abstractNumId w:val="19"/>
  </w:num>
  <w:num w:numId="28">
    <w:abstractNumId w:val="14"/>
  </w:num>
  <w:num w:numId="29">
    <w:abstractNumId w:val="10"/>
  </w:num>
  <w:num w:numId="30">
    <w:abstractNumId w:val="31"/>
  </w:num>
  <w:num w:numId="31">
    <w:abstractNumId w:val="27"/>
  </w:num>
  <w:num w:numId="32">
    <w:abstractNumId w:val="24"/>
  </w:num>
  <w:num w:numId="33">
    <w:abstractNumId w:val="33"/>
  </w:num>
  <w:num w:numId="34">
    <w:abstractNumId w:val="4"/>
  </w:num>
  <w:num w:numId="35">
    <w:abstractNumId w:val="29"/>
  </w:num>
  <w:num w:numId="36">
    <w:abstractNumId w:val="6"/>
  </w:num>
  <w:num w:numId="37">
    <w:abstractNumId w:val="0"/>
  </w:num>
  <w:num w:numId="38">
    <w:abstractNumId w:val="17"/>
  </w:num>
  <w:num w:numId="39">
    <w:abstractNumId w:val="25"/>
  </w:num>
  <w:num w:numId="40">
    <w:abstractNumId w:val="22"/>
  </w:num>
  <w:num w:numId="41">
    <w:abstractNumId w:val="15"/>
  </w:num>
  <w:num w:numId="42">
    <w:abstractNumId w:val="13"/>
    <w:lvlOverride w:ilvl="0">
      <w:lvl w:ilvl="0">
        <w:start w:val="1"/>
        <w:numFmt w:val="decimal"/>
        <w:suff w:val="space"/>
        <w:lvlText w:val="Chapter  %1"/>
        <w:lvlJc w:val="left"/>
        <w:pPr>
          <w:ind w:left="0" w:firstLine="0"/>
        </w:pPr>
        <w:rPr>
          <w:rFonts w:cs="Times New Roman" w:hint="default"/>
          <w:bCs/>
          <w:iCs w:val="0"/>
          <w:sz w:val="36"/>
          <w:szCs w:val="36"/>
        </w:rPr>
      </w:lvl>
    </w:lvlOverride>
    <w:lvlOverride w:ilvl="1">
      <w:lvl w:ilvl="1">
        <w:start w:val="1"/>
        <w:numFmt w:val="decimal"/>
        <w:suff w:val="space"/>
        <w:lvlText w:val="%1.%2"/>
        <w:lvlJc w:val="left"/>
        <w:pPr>
          <w:ind w:left="0" w:firstLine="0"/>
        </w:pPr>
        <w:rPr>
          <w:rFonts w:ascii="Times New Roman" w:hAnsi="Times New Roman" w:cs="Times New Roman" w:hint="default"/>
          <w:b/>
          <w:bCs/>
          <w:i w:val="0"/>
          <w:iCs w:val="0"/>
          <w:sz w:val="32"/>
          <w:szCs w:val="32"/>
        </w:rPr>
      </w:lvl>
    </w:lvlOverride>
    <w:lvlOverride w:ilvl="2">
      <w:lvl w:ilvl="2">
        <w:start w:val="1"/>
        <w:numFmt w:val="decimal"/>
        <w:suff w:val="space"/>
        <w:lvlText w:val="%1.%2.%3"/>
        <w:lvlJc w:val="left"/>
        <w:pPr>
          <w:ind w:left="0" w:firstLine="0"/>
        </w:pPr>
        <w:rPr>
          <w:rFonts w:ascii="Times New Roman" w:hAnsi="Times New Roman" w:cs="Times New Roman" w:hint="default"/>
          <w:b/>
          <w:bCs/>
          <w:i w:val="0"/>
          <w:iCs w:val="0"/>
          <w:sz w:val="28"/>
          <w:szCs w:val="28"/>
        </w:rPr>
      </w:lvl>
    </w:lvlOverride>
    <w:lvlOverride w:ilvl="3">
      <w:lvl w:ilvl="3">
        <w:start w:val="1"/>
        <w:numFmt w:val="decimal"/>
        <w:suff w:val="space"/>
        <w:lvlText w:val="%1.%2.%3.%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43">
    <w:abstractNumId w:val="7"/>
  </w:num>
  <w:num w:numId="44">
    <w:abstractNumId w:val="7"/>
    <w:lvlOverride w:ilvl="0">
      <w:lvl w:ilvl="0">
        <w:start w:val="1"/>
        <w:numFmt w:val="decimal"/>
        <w:suff w:val="space"/>
        <w:lvlText w:val="Chapter  %1"/>
        <w:lvlJc w:val="left"/>
        <w:pPr>
          <w:ind w:left="2970" w:firstLine="0"/>
        </w:pPr>
        <w:rPr>
          <w:rFonts w:cs="Times New Roman" w:hint="default"/>
          <w:bCs/>
          <w:iCs w:val="0"/>
          <w:sz w:val="36"/>
          <w:szCs w:val="36"/>
        </w:rPr>
      </w:lvl>
    </w:lvlOverride>
    <w:lvlOverride w:ilvl="1">
      <w:lvl w:ilvl="1">
        <w:start w:val="1"/>
        <w:numFmt w:val="decimal"/>
        <w:suff w:val="space"/>
        <w:lvlText w:val="%1.%2"/>
        <w:lvlJc w:val="left"/>
        <w:pPr>
          <w:ind w:left="0" w:firstLine="0"/>
        </w:pPr>
        <w:rPr>
          <w:rFonts w:ascii="Times New Roman" w:hAnsi="Times New Roman" w:cs="Times New Roman" w:hint="default"/>
          <w:b/>
          <w:bCs/>
          <w:i w:val="0"/>
          <w:iCs w:val="0"/>
          <w:sz w:val="32"/>
          <w:szCs w:val="32"/>
        </w:rPr>
      </w:lvl>
    </w:lvlOverride>
    <w:lvlOverride w:ilvl="2">
      <w:lvl w:ilvl="2">
        <w:start w:val="1"/>
        <w:numFmt w:val="decimal"/>
        <w:suff w:val="space"/>
        <w:lvlText w:val="%1.%2.%3"/>
        <w:lvlJc w:val="left"/>
        <w:pPr>
          <w:ind w:left="0" w:firstLine="0"/>
        </w:pPr>
        <w:rPr>
          <w:rFonts w:ascii="Times New Roman" w:hAnsi="Times New Roman" w:cs="Times New Roman" w:hint="default"/>
          <w:b/>
          <w:bCs/>
          <w:i w:val="0"/>
          <w:iCs w:val="0"/>
          <w:sz w:val="28"/>
          <w:szCs w:val="28"/>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space"/>
        <w:lvlText w:val=""/>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45">
    <w:abstractNumId w:val="35"/>
  </w:num>
  <w:num w:numId="46">
    <w:abstractNumId w:val="28"/>
  </w:num>
  <w:num w:numId="47">
    <w:abstractNumId w:val="5"/>
  </w:num>
  <w:num w:numId="48">
    <w:abstractNumId w:val="5"/>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wfp0f2qf99z4e9dvmvrwt192ff2arrfzfv&quot;&gt;My EndNote Library&lt;record-ids&gt;&lt;item&gt;1&lt;/item&gt;&lt;item&gt;2&lt;/item&gt;&lt;item&gt;3&lt;/item&gt;&lt;item&gt;4&lt;/item&gt;&lt;item&gt;5&lt;/item&gt;&lt;item&gt;6&lt;/item&gt;&lt;item&gt;7&lt;/item&gt;&lt;item&gt;8&lt;/item&gt;&lt;item&gt;9&lt;/item&gt;&lt;item&gt;10&lt;/item&gt;&lt;item&gt;11&lt;/item&gt;&lt;item&gt;13&lt;/item&gt;&lt;item&gt;15&lt;/item&gt;&lt;item&gt;16&lt;/item&gt;&lt;item&gt;17&lt;/item&gt;&lt;item&gt;18&lt;/item&gt;&lt;item&gt;19&lt;/item&gt;&lt;item&gt;20&lt;/item&gt;&lt;/record-ids&gt;&lt;/item&gt;&lt;/Libraries&gt;"/>
  </w:docVars>
  <w:rsids>
    <w:rsidRoot w:val="00467971"/>
    <w:rsid w:val="00003B63"/>
    <w:rsid w:val="00010983"/>
    <w:rsid w:val="0002065E"/>
    <w:rsid w:val="0002522D"/>
    <w:rsid w:val="00025796"/>
    <w:rsid w:val="000403F5"/>
    <w:rsid w:val="000420DA"/>
    <w:rsid w:val="00045EAC"/>
    <w:rsid w:val="00052C44"/>
    <w:rsid w:val="0006052A"/>
    <w:rsid w:val="00065089"/>
    <w:rsid w:val="00070DD9"/>
    <w:rsid w:val="00072743"/>
    <w:rsid w:val="00075A6D"/>
    <w:rsid w:val="0007615C"/>
    <w:rsid w:val="00083B0E"/>
    <w:rsid w:val="00095008"/>
    <w:rsid w:val="000B177A"/>
    <w:rsid w:val="000B22D2"/>
    <w:rsid w:val="000C18C5"/>
    <w:rsid w:val="000C4E94"/>
    <w:rsid w:val="000D1168"/>
    <w:rsid w:val="000F2CA7"/>
    <w:rsid w:val="000F3268"/>
    <w:rsid w:val="001060ED"/>
    <w:rsid w:val="00111644"/>
    <w:rsid w:val="0012393C"/>
    <w:rsid w:val="00125586"/>
    <w:rsid w:val="00125688"/>
    <w:rsid w:val="001277DC"/>
    <w:rsid w:val="00135D3B"/>
    <w:rsid w:val="0014374B"/>
    <w:rsid w:val="00145E4E"/>
    <w:rsid w:val="00150F26"/>
    <w:rsid w:val="001539F3"/>
    <w:rsid w:val="0015772B"/>
    <w:rsid w:val="001639AA"/>
    <w:rsid w:val="00164AA6"/>
    <w:rsid w:val="00166E8B"/>
    <w:rsid w:val="001824D1"/>
    <w:rsid w:val="00184F8C"/>
    <w:rsid w:val="00185FFA"/>
    <w:rsid w:val="00186786"/>
    <w:rsid w:val="00191C7E"/>
    <w:rsid w:val="001928A1"/>
    <w:rsid w:val="00192D83"/>
    <w:rsid w:val="0019412A"/>
    <w:rsid w:val="001979FB"/>
    <w:rsid w:val="00197F08"/>
    <w:rsid w:val="001A4202"/>
    <w:rsid w:val="001A5852"/>
    <w:rsid w:val="001A5B86"/>
    <w:rsid w:val="001B6AE5"/>
    <w:rsid w:val="001C2B35"/>
    <w:rsid w:val="001C32A5"/>
    <w:rsid w:val="001C755F"/>
    <w:rsid w:val="001F10DD"/>
    <w:rsid w:val="001F3C1A"/>
    <w:rsid w:val="001F59A9"/>
    <w:rsid w:val="001F6D41"/>
    <w:rsid w:val="00202C21"/>
    <w:rsid w:val="002126D7"/>
    <w:rsid w:val="00214D77"/>
    <w:rsid w:val="00215A26"/>
    <w:rsid w:val="00220FB0"/>
    <w:rsid w:val="00225F31"/>
    <w:rsid w:val="002326F1"/>
    <w:rsid w:val="00232DE8"/>
    <w:rsid w:val="002344ED"/>
    <w:rsid w:val="00235774"/>
    <w:rsid w:val="0023690C"/>
    <w:rsid w:val="002445D4"/>
    <w:rsid w:val="00256046"/>
    <w:rsid w:val="00256074"/>
    <w:rsid w:val="00275413"/>
    <w:rsid w:val="002777DE"/>
    <w:rsid w:val="00286CF8"/>
    <w:rsid w:val="0029024B"/>
    <w:rsid w:val="00293425"/>
    <w:rsid w:val="00296696"/>
    <w:rsid w:val="002A123D"/>
    <w:rsid w:val="002A1A9E"/>
    <w:rsid w:val="002B11AE"/>
    <w:rsid w:val="002B430C"/>
    <w:rsid w:val="002E3F6C"/>
    <w:rsid w:val="002E50D2"/>
    <w:rsid w:val="002F0B57"/>
    <w:rsid w:val="002F4036"/>
    <w:rsid w:val="002F62E9"/>
    <w:rsid w:val="003043E3"/>
    <w:rsid w:val="00307183"/>
    <w:rsid w:val="003124CC"/>
    <w:rsid w:val="00313CFF"/>
    <w:rsid w:val="00317998"/>
    <w:rsid w:val="00323018"/>
    <w:rsid w:val="00323894"/>
    <w:rsid w:val="003303F7"/>
    <w:rsid w:val="00330956"/>
    <w:rsid w:val="003366A3"/>
    <w:rsid w:val="00343B30"/>
    <w:rsid w:val="0035336A"/>
    <w:rsid w:val="00355C78"/>
    <w:rsid w:val="003619EF"/>
    <w:rsid w:val="00367828"/>
    <w:rsid w:val="00374B4A"/>
    <w:rsid w:val="003829EE"/>
    <w:rsid w:val="00383685"/>
    <w:rsid w:val="003851BE"/>
    <w:rsid w:val="00385B3E"/>
    <w:rsid w:val="00386248"/>
    <w:rsid w:val="00387659"/>
    <w:rsid w:val="003A577A"/>
    <w:rsid w:val="003A7B7F"/>
    <w:rsid w:val="003B5889"/>
    <w:rsid w:val="003B7EE2"/>
    <w:rsid w:val="003C6609"/>
    <w:rsid w:val="003D5F9A"/>
    <w:rsid w:val="003D61B7"/>
    <w:rsid w:val="003D66E1"/>
    <w:rsid w:val="003E509B"/>
    <w:rsid w:val="003E7CF8"/>
    <w:rsid w:val="003F37A1"/>
    <w:rsid w:val="003F4F37"/>
    <w:rsid w:val="003F6573"/>
    <w:rsid w:val="003F6E7F"/>
    <w:rsid w:val="00402F40"/>
    <w:rsid w:val="0044774B"/>
    <w:rsid w:val="00450D84"/>
    <w:rsid w:val="00452E52"/>
    <w:rsid w:val="00460CC7"/>
    <w:rsid w:val="00467971"/>
    <w:rsid w:val="00474C5D"/>
    <w:rsid w:val="00485C14"/>
    <w:rsid w:val="00487C52"/>
    <w:rsid w:val="004959B8"/>
    <w:rsid w:val="004A08D9"/>
    <w:rsid w:val="004A6BBB"/>
    <w:rsid w:val="004A7E35"/>
    <w:rsid w:val="004B18D5"/>
    <w:rsid w:val="004B38EC"/>
    <w:rsid w:val="004C07FB"/>
    <w:rsid w:val="004C1B50"/>
    <w:rsid w:val="004D052F"/>
    <w:rsid w:val="004D3E24"/>
    <w:rsid w:val="004D70BA"/>
    <w:rsid w:val="004E4427"/>
    <w:rsid w:val="0051493D"/>
    <w:rsid w:val="00554F49"/>
    <w:rsid w:val="00557EE9"/>
    <w:rsid w:val="0056104A"/>
    <w:rsid w:val="00563DFB"/>
    <w:rsid w:val="00581995"/>
    <w:rsid w:val="00582853"/>
    <w:rsid w:val="005B114C"/>
    <w:rsid w:val="005B18FC"/>
    <w:rsid w:val="005C2E43"/>
    <w:rsid w:val="005C6468"/>
    <w:rsid w:val="005D13D3"/>
    <w:rsid w:val="005D695B"/>
    <w:rsid w:val="005D7B45"/>
    <w:rsid w:val="005E4794"/>
    <w:rsid w:val="005F4D64"/>
    <w:rsid w:val="00625C34"/>
    <w:rsid w:val="006300ED"/>
    <w:rsid w:val="00632E62"/>
    <w:rsid w:val="006341D7"/>
    <w:rsid w:val="006466E5"/>
    <w:rsid w:val="00684DB5"/>
    <w:rsid w:val="00686D39"/>
    <w:rsid w:val="006911AC"/>
    <w:rsid w:val="0069783F"/>
    <w:rsid w:val="00697CBC"/>
    <w:rsid w:val="006A30ED"/>
    <w:rsid w:val="006C23D7"/>
    <w:rsid w:val="006C7C7D"/>
    <w:rsid w:val="006D76A7"/>
    <w:rsid w:val="006F74E0"/>
    <w:rsid w:val="00707B2C"/>
    <w:rsid w:val="007102B8"/>
    <w:rsid w:val="00710B68"/>
    <w:rsid w:val="00710C5A"/>
    <w:rsid w:val="00715D86"/>
    <w:rsid w:val="00717923"/>
    <w:rsid w:val="00723A11"/>
    <w:rsid w:val="00724527"/>
    <w:rsid w:val="00725D5D"/>
    <w:rsid w:val="00735761"/>
    <w:rsid w:val="00764194"/>
    <w:rsid w:val="00764427"/>
    <w:rsid w:val="0076605D"/>
    <w:rsid w:val="007660F6"/>
    <w:rsid w:val="0076766C"/>
    <w:rsid w:val="00773F38"/>
    <w:rsid w:val="00782D41"/>
    <w:rsid w:val="007A3E6E"/>
    <w:rsid w:val="007A6FDE"/>
    <w:rsid w:val="007C4C6F"/>
    <w:rsid w:val="007D0B48"/>
    <w:rsid w:val="007E192B"/>
    <w:rsid w:val="007F173F"/>
    <w:rsid w:val="00806260"/>
    <w:rsid w:val="008077BA"/>
    <w:rsid w:val="0081331B"/>
    <w:rsid w:val="00816F7D"/>
    <w:rsid w:val="00817971"/>
    <w:rsid w:val="00821BB6"/>
    <w:rsid w:val="008237CC"/>
    <w:rsid w:val="00825210"/>
    <w:rsid w:val="0083183C"/>
    <w:rsid w:val="008341DC"/>
    <w:rsid w:val="0083795F"/>
    <w:rsid w:val="00864FF2"/>
    <w:rsid w:val="008672DC"/>
    <w:rsid w:val="008712AE"/>
    <w:rsid w:val="0088325D"/>
    <w:rsid w:val="008912C4"/>
    <w:rsid w:val="00895548"/>
    <w:rsid w:val="008978E2"/>
    <w:rsid w:val="008A124A"/>
    <w:rsid w:val="008A5870"/>
    <w:rsid w:val="008A5CB6"/>
    <w:rsid w:val="008B67A6"/>
    <w:rsid w:val="008C73A9"/>
    <w:rsid w:val="008D3F45"/>
    <w:rsid w:val="008D528C"/>
    <w:rsid w:val="008D6B09"/>
    <w:rsid w:val="008E107D"/>
    <w:rsid w:val="0090360D"/>
    <w:rsid w:val="00911470"/>
    <w:rsid w:val="009117F4"/>
    <w:rsid w:val="00916F68"/>
    <w:rsid w:val="00922229"/>
    <w:rsid w:val="00922C1D"/>
    <w:rsid w:val="00925B93"/>
    <w:rsid w:val="009519F0"/>
    <w:rsid w:val="00956D51"/>
    <w:rsid w:val="0096251B"/>
    <w:rsid w:val="00962790"/>
    <w:rsid w:val="00962D38"/>
    <w:rsid w:val="00972598"/>
    <w:rsid w:val="00976609"/>
    <w:rsid w:val="00981281"/>
    <w:rsid w:val="0098410C"/>
    <w:rsid w:val="00985A50"/>
    <w:rsid w:val="009924D9"/>
    <w:rsid w:val="009A5B54"/>
    <w:rsid w:val="009A76BD"/>
    <w:rsid w:val="009B6DB7"/>
    <w:rsid w:val="009B7DCA"/>
    <w:rsid w:val="009C2630"/>
    <w:rsid w:val="009D1AD5"/>
    <w:rsid w:val="009E0ECA"/>
    <w:rsid w:val="009E2F14"/>
    <w:rsid w:val="009E4130"/>
    <w:rsid w:val="009E67C3"/>
    <w:rsid w:val="009F1AAE"/>
    <w:rsid w:val="009F421B"/>
    <w:rsid w:val="00A21160"/>
    <w:rsid w:val="00A33226"/>
    <w:rsid w:val="00A33808"/>
    <w:rsid w:val="00A370B9"/>
    <w:rsid w:val="00A402AD"/>
    <w:rsid w:val="00A415CE"/>
    <w:rsid w:val="00A510B3"/>
    <w:rsid w:val="00A577B7"/>
    <w:rsid w:val="00A64473"/>
    <w:rsid w:val="00A655B8"/>
    <w:rsid w:val="00A71403"/>
    <w:rsid w:val="00A7768A"/>
    <w:rsid w:val="00A777FC"/>
    <w:rsid w:val="00A80023"/>
    <w:rsid w:val="00A861DE"/>
    <w:rsid w:val="00AA11B5"/>
    <w:rsid w:val="00AA3499"/>
    <w:rsid w:val="00AB053A"/>
    <w:rsid w:val="00AB06F9"/>
    <w:rsid w:val="00AC1109"/>
    <w:rsid w:val="00AC442D"/>
    <w:rsid w:val="00AD7120"/>
    <w:rsid w:val="00B10061"/>
    <w:rsid w:val="00B14209"/>
    <w:rsid w:val="00B2508C"/>
    <w:rsid w:val="00B34540"/>
    <w:rsid w:val="00B416C1"/>
    <w:rsid w:val="00B44317"/>
    <w:rsid w:val="00B4644F"/>
    <w:rsid w:val="00B71B8E"/>
    <w:rsid w:val="00B739AF"/>
    <w:rsid w:val="00B75033"/>
    <w:rsid w:val="00B75AF9"/>
    <w:rsid w:val="00B7654D"/>
    <w:rsid w:val="00B94BD7"/>
    <w:rsid w:val="00BA77ED"/>
    <w:rsid w:val="00BB2125"/>
    <w:rsid w:val="00BB5FF1"/>
    <w:rsid w:val="00BC0D1F"/>
    <w:rsid w:val="00BD5ECF"/>
    <w:rsid w:val="00BE50DF"/>
    <w:rsid w:val="00C013ED"/>
    <w:rsid w:val="00C03EE5"/>
    <w:rsid w:val="00C067ED"/>
    <w:rsid w:val="00C10355"/>
    <w:rsid w:val="00C14950"/>
    <w:rsid w:val="00C1643D"/>
    <w:rsid w:val="00C17D90"/>
    <w:rsid w:val="00C260AC"/>
    <w:rsid w:val="00C26D6B"/>
    <w:rsid w:val="00C35732"/>
    <w:rsid w:val="00C4012A"/>
    <w:rsid w:val="00C42C4C"/>
    <w:rsid w:val="00C46BA0"/>
    <w:rsid w:val="00C56523"/>
    <w:rsid w:val="00C615DE"/>
    <w:rsid w:val="00C645D5"/>
    <w:rsid w:val="00C752B0"/>
    <w:rsid w:val="00C75412"/>
    <w:rsid w:val="00C7682D"/>
    <w:rsid w:val="00C77AF1"/>
    <w:rsid w:val="00C92CED"/>
    <w:rsid w:val="00C951BA"/>
    <w:rsid w:val="00CA3A41"/>
    <w:rsid w:val="00CA56F2"/>
    <w:rsid w:val="00CB1640"/>
    <w:rsid w:val="00CB2F53"/>
    <w:rsid w:val="00CD16E2"/>
    <w:rsid w:val="00CD2F4A"/>
    <w:rsid w:val="00CD49CE"/>
    <w:rsid w:val="00CD7A69"/>
    <w:rsid w:val="00CF6BFD"/>
    <w:rsid w:val="00D07026"/>
    <w:rsid w:val="00D11BF7"/>
    <w:rsid w:val="00D165FD"/>
    <w:rsid w:val="00D269C6"/>
    <w:rsid w:val="00D31462"/>
    <w:rsid w:val="00D34679"/>
    <w:rsid w:val="00D54B19"/>
    <w:rsid w:val="00D61E23"/>
    <w:rsid w:val="00D63696"/>
    <w:rsid w:val="00D7298F"/>
    <w:rsid w:val="00D76E33"/>
    <w:rsid w:val="00D81EC6"/>
    <w:rsid w:val="00D86077"/>
    <w:rsid w:val="00DB30CF"/>
    <w:rsid w:val="00DB5F45"/>
    <w:rsid w:val="00DD2A1D"/>
    <w:rsid w:val="00DE2B35"/>
    <w:rsid w:val="00DF63B0"/>
    <w:rsid w:val="00E14744"/>
    <w:rsid w:val="00E14E4A"/>
    <w:rsid w:val="00E15142"/>
    <w:rsid w:val="00E159F1"/>
    <w:rsid w:val="00E163D3"/>
    <w:rsid w:val="00E20E02"/>
    <w:rsid w:val="00E55A9F"/>
    <w:rsid w:val="00E719DB"/>
    <w:rsid w:val="00E81246"/>
    <w:rsid w:val="00E819AF"/>
    <w:rsid w:val="00E85A6B"/>
    <w:rsid w:val="00E9176E"/>
    <w:rsid w:val="00E929C2"/>
    <w:rsid w:val="00E953B7"/>
    <w:rsid w:val="00EB3D80"/>
    <w:rsid w:val="00EC025A"/>
    <w:rsid w:val="00EC531D"/>
    <w:rsid w:val="00EC6133"/>
    <w:rsid w:val="00ED04BE"/>
    <w:rsid w:val="00ED26F2"/>
    <w:rsid w:val="00ED4944"/>
    <w:rsid w:val="00ED6080"/>
    <w:rsid w:val="00ED7ED9"/>
    <w:rsid w:val="00EE1CC5"/>
    <w:rsid w:val="00EF519F"/>
    <w:rsid w:val="00EF6E6D"/>
    <w:rsid w:val="00EF7AB2"/>
    <w:rsid w:val="00F002B8"/>
    <w:rsid w:val="00F02383"/>
    <w:rsid w:val="00F106AB"/>
    <w:rsid w:val="00F15731"/>
    <w:rsid w:val="00F20F19"/>
    <w:rsid w:val="00F44A16"/>
    <w:rsid w:val="00F51384"/>
    <w:rsid w:val="00F517EE"/>
    <w:rsid w:val="00F51BC3"/>
    <w:rsid w:val="00F51DAB"/>
    <w:rsid w:val="00F54EFE"/>
    <w:rsid w:val="00F550AF"/>
    <w:rsid w:val="00F562FA"/>
    <w:rsid w:val="00F56452"/>
    <w:rsid w:val="00F648DC"/>
    <w:rsid w:val="00F72D88"/>
    <w:rsid w:val="00F908EF"/>
    <w:rsid w:val="00FA3AAB"/>
    <w:rsid w:val="00FC1EAA"/>
    <w:rsid w:val="00FC6333"/>
    <w:rsid w:val="00FD0B3A"/>
    <w:rsid w:val="00FD26B8"/>
    <w:rsid w:val="00FE047D"/>
    <w:rsid w:val="00FE2465"/>
    <w:rsid w:val="00FE45E1"/>
    <w:rsid w:val="00FF2CCD"/>
    <w:rsid w:val="00FF7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8BC38"/>
  <w15:chartTrackingRefBased/>
  <w15:docId w15:val="{D05826CF-4176-4BCA-8419-87F7D34D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A7"/>
    <w:pPr>
      <w:spacing w:line="360" w:lineRule="auto"/>
      <w:jc w:val="both"/>
    </w:pPr>
    <w:rPr>
      <w:rFonts w:ascii="Times New Roman" w:hAnsi="Times New Roman"/>
      <w:sz w:val="24"/>
      <w:lang w:eastAsia="zh-CN"/>
    </w:rPr>
  </w:style>
  <w:style w:type="paragraph" w:styleId="Heading1">
    <w:name w:val="heading 1"/>
    <w:basedOn w:val="Normal"/>
    <w:next w:val="Normal"/>
    <w:link w:val="Heading1Char"/>
    <w:autoRedefine/>
    <w:qFormat/>
    <w:rsid w:val="00723A11"/>
    <w:pPr>
      <w:keepNext/>
      <w:keepLines/>
      <w:numPr>
        <w:numId w:val="13"/>
      </w:numPr>
      <w:spacing w:after="0" w:line="240" w:lineRule="auto"/>
      <w:jc w:val="center"/>
      <w:outlineLvl w:val="0"/>
    </w:pPr>
    <w:rPr>
      <w:rFonts w:asciiTheme="majorBidi" w:eastAsia="SimSun" w:hAnsiTheme="majorBidi" w:cstheme="majorBidi"/>
      <w:b/>
      <w:bCs/>
      <w:kern w:val="44"/>
      <w:sz w:val="32"/>
      <w:szCs w:val="32"/>
    </w:rPr>
  </w:style>
  <w:style w:type="paragraph" w:styleId="Heading2">
    <w:name w:val="heading 2"/>
    <w:basedOn w:val="Normal"/>
    <w:next w:val="Normal"/>
    <w:link w:val="Heading2Char"/>
    <w:autoRedefine/>
    <w:qFormat/>
    <w:rsid w:val="002B430C"/>
    <w:pPr>
      <w:keepNext/>
      <w:keepLines/>
      <w:numPr>
        <w:ilvl w:val="1"/>
        <w:numId w:val="13"/>
      </w:numPr>
      <w:spacing w:before="200" w:after="0"/>
      <w:outlineLvl w:val="1"/>
    </w:pPr>
    <w:rPr>
      <w:rFonts w:asciiTheme="majorBidi" w:eastAsiaTheme="majorEastAsia" w:hAnsiTheme="majorBidi" w:cstheme="majorBidi"/>
      <w:b/>
      <w:bCs/>
      <w:color w:val="000000" w:themeColor="text1"/>
      <w:sz w:val="32"/>
      <w:szCs w:val="32"/>
    </w:rPr>
  </w:style>
  <w:style w:type="paragraph" w:styleId="Heading3">
    <w:name w:val="heading 3"/>
    <w:basedOn w:val="Normal"/>
    <w:next w:val="Normal"/>
    <w:link w:val="Heading3Char"/>
    <w:autoRedefine/>
    <w:qFormat/>
    <w:rsid w:val="002B430C"/>
    <w:pPr>
      <w:keepNext/>
      <w:keepLines/>
      <w:numPr>
        <w:ilvl w:val="2"/>
        <w:numId w:val="13"/>
      </w:numPr>
      <w:tabs>
        <w:tab w:val="left" w:pos="900"/>
      </w:tabs>
      <w:spacing w:before="200" w:after="0"/>
      <w:outlineLvl w:val="2"/>
    </w:pPr>
    <w:rPr>
      <w:rFonts w:asciiTheme="majorBidi" w:eastAsiaTheme="majorEastAsia" w:hAnsiTheme="majorBidi" w:cstheme="majorBidi"/>
      <w:b/>
      <w:bCs/>
      <w:sz w:val="28"/>
      <w:szCs w:val="28"/>
    </w:rPr>
  </w:style>
  <w:style w:type="paragraph" w:styleId="Heading4">
    <w:name w:val="heading 4"/>
    <w:basedOn w:val="Normal"/>
    <w:next w:val="Normal"/>
    <w:link w:val="Heading4Char"/>
    <w:autoRedefine/>
    <w:uiPriority w:val="9"/>
    <w:qFormat/>
    <w:rsid w:val="00BE50DF"/>
    <w:pPr>
      <w:keepNext/>
      <w:keepLines/>
      <w:numPr>
        <w:ilvl w:val="3"/>
        <w:numId w:val="13"/>
      </w:numPr>
      <w:spacing w:before="40" w:after="0"/>
      <w:outlineLvl w:val="3"/>
    </w:pPr>
    <w:rPr>
      <w:rFonts w:asciiTheme="majorBidi" w:eastAsiaTheme="majorEastAsia" w:hAnsiTheme="majorBidi" w:cstheme="majorBidi"/>
      <w:b/>
      <w:bCs/>
      <w:i/>
      <w:iCs/>
      <w:color w:val="000000" w:themeColor="text1"/>
      <w:lang w:val="en"/>
    </w:rPr>
  </w:style>
  <w:style w:type="paragraph" w:styleId="Heading5">
    <w:name w:val="heading 5"/>
    <w:basedOn w:val="Normal"/>
    <w:next w:val="Normal"/>
    <w:link w:val="Heading5Char"/>
    <w:uiPriority w:val="9"/>
    <w:unhideWhenUsed/>
    <w:qFormat/>
    <w:rsid w:val="00450D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A11"/>
    <w:rPr>
      <w:rFonts w:asciiTheme="majorBidi" w:eastAsia="SimSun" w:hAnsiTheme="majorBidi" w:cstheme="majorBidi"/>
      <w:b/>
      <w:bCs/>
      <w:kern w:val="44"/>
      <w:sz w:val="32"/>
      <w:szCs w:val="32"/>
      <w:lang w:eastAsia="zh-CN"/>
    </w:rPr>
  </w:style>
  <w:style w:type="character" w:customStyle="1" w:styleId="Heading2Char">
    <w:name w:val="Heading 2 Char"/>
    <w:basedOn w:val="DefaultParagraphFont"/>
    <w:link w:val="Heading2"/>
    <w:rsid w:val="002B430C"/>
    <w:rPr>
      <w:rFonts w:asciiTheme="majorBidi" w:eastAsiaTheme="majorEastAsia" w:hAnsiTheme="majorBidi" w:cstheme="majorBidi"/>
      <w:b/>
      <w:bCs/>
      <w:color w:val="000000" w:themeColor="text1"/>
      <w:sz w:val="32"/>
      <w:szCs w:val="32"/>
      <w:lang w:eastAsia="zh-CN"/>
    </w:rPr>
  </w:style>
  <w:style w:type="character" w:customStyle="1" w:styleId="Heading3Char">
    <w:name w:val="Heading 3 Char"/>
    <w:basedOn w:val="DefaultParagraphFont"/>
    <w:link w:val="Heading3"/>
    <w:rsid w:val="002B430C"/>
    <w:rPr>
      <w:rFonts w:asciiTheme="majorBidi" w:eastAsiaTheme="majorEastAsia" w:hAnsiTheme="majorBidi" w:cstheme="majorBidi"/>
      <w:b/>
      <w:bCs/>
      <w:sz w:val="28"/>
      <w:szCs w:val="28"/>
      <w:lang w:eastAsia="zh-CN"/>
    </w:rPr>
  </w:style>
  <w:style w:type="character" w:customStyle="1" w:styleId="Heading4Char">
    <w:name w:val="Heading 4 Char"/>
    <w:basedOn w:val="DefaultParagraphFont"/>
    <w:link w:val="Heading4"/>
    <w:uiPriority w:val="9"/>
    <w:rsid w:val="00BE50DF"/>
    <w:rPr>
      <w:rFonts w:asciiTheme="majorBidi" w:eastAsiaTheme="majorEastAsia" w:hAnsiTheme="majorBidi" w:cstheme="majorBidi"/>
      <w:b/>
      <w:bCs/>
      <w:i/>
      <w:iCs/>
      <w:color w:val="000000" w:themeColor="text1"/>
      <w:sz w:val="24"/>
      <w:lang w:val="en" w:eastAsia="zh-CN"/>
    </w:rPr>
  </w:style>
  <w:style w:type="character" w:customStyle="1" w:styleId="Heading5Char">
    <w:name w:val="Heading 5 Char"/>
    <w:basedOn w:val="DefaultParagraphFont"/>
    <w:link w:val="Heading5"/>
    <w:uiPriority w:val="9"/>
    <w:rsid w:val="00450D84"/>
    <w:rPr>
      <w:rFonts w:asciiTheme="majorHAnsi" w:eastAsiaTheme="majorEastAsia" w:hAnsiTheme="majorHAnsi" w:cstheme="majorBidi"/>
      <w:color w:val="2F5496" w:themeColor="accent1" w:themeShade="BF"/>
      <w:sz w:val="24"/>
      <w:lang w:eastAsia="zh-CN"/>
    </w:rPr>
  </w:style>
  <w:style w:type="paragraph" w:styleId="ListParagraph">
    <w:name w:val="List Paragraph"/>
    <w:basedOn w:val="Normal"/>
    <w:uiPriority w:val="34"/>
    <w:qFormat/>
    <w:rsid w:val="00467971"/>
    <w:pPr>
      <w:ind w:left="720"/>
      <w:contextualSpacing/>
    </w:pPr>
  </w:style>
  <w:style w:type="character" w:styleId="Hyperlink">
    <w:name w:val="Hyperlink"/>
    <w:basedOn w:val="DefaultParagraphFont"/>
    <w:uiPriority w:val="99"/>
    <w:unhideWhenUsed/>
    <w:rsid w:val="00467971"/>
    <w:rPr>
      <w:color w:val="0563C1" w:themeColor="hyperlink"/>
      <w:u w:val="single"/>
    </w:rPr>
  </w:style>
  <w:style w:type="character" w:styleId="UnresolvedMention">
    <w:name w:val="Unresolved Mention"/>
    <w:basedOn w:val="DefaultParagraphFont"/>
    <w:uiPriority w:val="99"/>
    <w:semiHidden/>
    <w:unhideWhenUsed/>
    <w:rsid w:val="00467971"/>
    <w:rPr>
      <w:color w:val="605E5C"/>
      <w:shd w:val="clear" w:color="auto" w:fill="E1DFDD"/>
    </w:rPr>
  </w:style>
  <w:style w:type="paragraph" w:customStyle="1" w:styleId="EndNoteBibliographyTitle">
    <w:name w:val="EndNote Bibliography Title"/>
    <w:basedOn w:val="Normal"/>
    <w:link w:val="EndNoteBibliographyTitleChar"/>
    <w:rsid w:val="008077B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8077BA"/>
    <w:rPr>
      <w:rFonts w:ascii="Times New Roman" w:hAnsi="Times New Roman" w:cs="Times New Roman"/>
      <w:noProof/>
      <w:sz w:val="24"/>
      <w:lang w:eastAsia="zh-CN"/>
    </w:rPr>
  </w:style>
  <w:style w:type="paragraph" w:customStyle="1" w:styleId="EndNoteBibliography">
    <w:name w:val="EndNote Bibliography"/>
    <w:basedOn w:val="Normal"/>
    <w:link w:val="EndNoteBibliographyChar"/>
    <w:rsid w:val="008077BA"/>
    <w:pPr>
      <w:spacing w:line="240" w:lineRule="auto"/>
    </w:pPr>
    <w:rPr>
      <w:rFonts w:cs="Times New Roman"/>
      <w:noProof/>
    </w:rPr>
  </w:style>
  <w:style w:type="character" w:customStyle="1" w:styleId="EndNoteBibliographyChar">
    <w:name w:val="EndNote Bibliography Char"/>
    <w:basedOn w:val="DefaultParagraphFont"/>
    <w:link w:val="EndNoteBibliography"/>
    <w:rsid w:val="008077BA"/>
    <w:rPr>
      <w:rFonts w:ascii="Times New Roman" w:hAnsi="Times New Roman" w:cs="Times New Roman"/>
      <w:noProof/>
      <w:sz w:val="24"/>
      <w:lang w:eastAsia="zh-CN"/>
    </w:rPr>
  </w:style>
  <w:style w:type="table" w:styleId="TableGrid">
    <w:name w:val="Table Grid"/>
    <w:basedOn w:val="TableNormal"/>
    <w:uiPriority w:val="59"/>
    <w:rsid w:val="0033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03F7"/>
    <w:pPr>
      <w:spacing w:after="200"/>
    </w:pPr>
    <w:rPr>
      <w:rFonts w:asciiTheme="majorBidi" w:hAnsiTheme="majorBidi" w:cstheme="majorBidi"/>
      <w:i/>
      <w:iCs/>
      <w:color w:val="44546A" w:themeColor="text2"/>
      <w:sz w:val="18"/>
      <w:szCs w:val="18"/>
    </w:rPr>
  </w:style>
  <w:style w:type="paragraph" w:customStyle="1" w:styleId="Default">
    <w:name w:val="Default"/>
    <w:unhideWhenUsed/>
    <w:qFormat/>
    <w:rsid w:val="003303F7"/>
    <w:pPr>
      <w:widowControl w:val="0"/>
      <w:autoSpaceDE w:val="0"/>
      <w:autoSpaceDN w:val="0"/>
      <w:adjustRightInd w:val="0"/>
      <w:spacing w:after="200" w:line="276" w:lineRule="auto"/>
    </w:pPr>
    <w:rPr>
      <w:rFonts w:ascii="Times New Roman" w:eastAsia="Times New Roman" w:hAnsi="Times New Roman" w:cs="Arial"/>
      <w:color w:val="000000"/>
      <w:sz w:val="24"/>
      <w:szCs w:val="20"/>
    </w:rPr>
  </w:style>
  <w:style w:type="paragraph" w:styleId="NoSpacing">
    <w:name w:val="No Spacing"/>
    <w:uiPriority w:val="1"/>
    <w:qFormat/>
    <w:rsid w:val="00010983"/>
    <w:pPr>
      <w:spacing w:after="0" w:line="240" w:lineRule="auto"/>
    </w:pPr>
    <w:rPr>
      <w:rFonts w:ascii="Calibri" w:eastAsia="Calibri" w:hAnsi="Calibri" w:cs="Arial"/>
    </w:rPr>
  </w:style>
  <w:style w:type="paragraph" w:styleId="Header">
    <w:name w:val="header"/>
    <w:basedOn w:val="Normal"/>
    <w:link w:val="HeaderChar"/>
    <w:uiPriority w:val="99"/>
    <w:unhideWhenUsed/>
    <w:rsid w:val="00010983"/>
    <w:pPr>
      <w:tabs>
        <w:tab w:val="center" w:pos="4680"/>
        <w:tab w:val="right" w:pos="9360"/>
      </w:tabs>
      <w:spacing w:after="0" w:line="240" w:lineRule="auto"/>
    </w:pPr>
    <w:rPr>
      <w:rFonts w:asciiTheme="majorBidi" w:eastAsia="Calibri" w:hAnsiTheme="majorBidi" w:cstheme="majorBidi"/>
      <w:sz w:val="28"/>
      <w:szCs w:val="28"/>
    </w:rPr>
  </w:style>
  <w:style w:type="character" w:customStyle="1" w:styleId="HeaderChar">
    <w:name w:val="Header Char"/>
    <w:basedOn w:val="DefaultParagraphFont"/>
    <w:link w:val="Header"/>
    <w:uiPriority w:val="99"/>
    <w:rsid w:val="00010983"/>
    <w:rPr>
      <w:rFonts w:asciiTheme="majorBidi" w:eastAsia="Calibri" w:hAnsiTheme="majorBidi" w:cstheme="majorBidi"/>
      <w:sz w:val="28"/>
      <w:szCs w:val="28"/>
      <w:lang w:eastAsia="zh-CN"/>
    </w:rPr>
  </w:style>
  <w:style w:type="paragraph" w:styleId="Footer">
    <w:name w:val="footer"/>
    <w:basedOn w:val="Normal"/>
    <w:link w:val="FooterChar"/>
    <w:uiPriority w:val="99"/>
    <w:unhideWhenUsed/>
    <w:rsid w:val="00010983"/>
    <w:pPr>
      <w:tabs>
        <w:tab w:val="center" w:pos="4680"/>
        <w:tab w:val="right" w:pos="9360"/>
      </w:tabs>
      <w:spacing w:after="0" w:line="240" w:lineRule="auto"/>
    </w:pPr>
    <w:rPr>
      <w:rFonts w:asciiTheme="majorBidi" w:eastAsia="Calibri" w:hAnsiTheme="majorBidi" w:cstheme="majorBidi"/>
      <w:sz w:val="28"/>
      <w:szCs w:val="28"/>
    </w:rPr>
  </w:style>
  <w:style w:type="character" w:customStyle="1" w:styleId="FooterChar">
    <w:name w:val="Footer Char"/>
    <w:basedOn w:val="DefaultParagraphFont"/>
    <w:link w:val="Footer"/>
    <w:uiPriority w:val="99"/>
    <w:rsid w:val="00010983"/>
    <w:rPr>
      <w:rFonts w:asciiTheme="majorBidi" w:eastAsia="Calibri" w:hAnsiTheme="majorBidi" w:cstheme="majorBidi"/>
      <w:sz w:val="28"/>
      <w:szCs w:val="28"/>
      <w:lang w:eastAsia="zh-CN"/>
    </w:rPr>
  </w:style>
  <w:style w:type="paragraph" w:styleId="NormalWeb">
    <w:name w:val="Normal (Web)"/>
    <w:basedOn w:val="Normal"/>
    <w:uiPriority w:val="99"/>
    <w:unhideWhenUsed/>
    <w:rsid w:val="00010983"/>
    <w:pPr>
      <w:spacing w:before="100" w:beforeAutospacing="1" w:after="100" w:afterAutospacing="1" w:line="240" w:lineRule="auto"/>
      <w:jc w:val="left"/>
    </w:pPr>
    <w:rPr>
      <w:rFonts w:eastAsia="Times New Roman" w:cs="Times New Roman"/>
      <w:sz w:val="28"/>
      <w:szCs w:val="28"/>
    </w:rPr>
  </w:style>
  <w:style w:type="paragraph" w:styleId="TOCHeading">
    <w:name w:val="TOC Heading"/>
    <w:basedOn w:val="Heading1"/>
    <w:next w:val="Normal"/>
    <w:uiPriority w:val="39"/>
    <w:unhideWhenUsed/>
    <w:qFormat/>
    <w:rsid w:val="00010983"/>
    <w:pPr>
      <w:numPr>
        <w:numId w:val="0"/>
      </w:numPr>
      <w:spacing w:before="240" w:line="259" w:lineRule="auto"/>
      <w:jc w:val="left"/>
      <w:outlineLvl w:val="9"/>
    </w:pPr>
    <w:rPr>
      <w:rFonts w:asciiTheme="majorHAnsi" w:eastAsiaTheme="majorEastAsia" w:hAnsiTheme="majorHAnsi"/>
      <w:b w:val="0"/>
      <w:bCs w:val="0"/>
      <w:color w:val="2F5496" w:themeColor="accent1" w:themeShade="BF"/>
      <w:kern w:val="0"/>
      <w:lang w:eastAsia="en-US"/>
    </w:rPr>
  </w:style>
  <w:style w:type="paragraph" w:styleId="TOC1">
    <w:name w:val="toc 1"/>
    <w:basedOn w:val="Normal"/>
    <w:next w:val="Normal"/>
    <w:autoRedefine/>
    <w:uiPriority w:val="39"/>
    <w:unhideWhenUsed/>
    <w:rsid w:val="00010983"/>
    <w:pPr>
      <w:spacing w:after="100"/>
    </w:pPr>
    <w:rPr>
      <w:rFonts w:asciiTheme="majorBidi" w:eastAsia="Calibri" w:hAnsiTheme="majorBidi" w:cstheme="majorBidi"/>
      <w:sz w:val="28"/>
      <w:szCs w:val="28"/>
    </w:rPr>
  </w:style>
  <w:style w:type="paragraph" w:styleId="TOC2">
    <w:name w:val="toc 2"/>
    <w:basedOn w:val="Normal"/>
    <w:next w:val="Normal"/>
    <w:autoRedefine/>
    <w:uiPriority w:val="39"/>
    <w:unhideWhenUsed/>
    <w:rsid w:val="00010983"/>
    <w:pPr>
      <w:spacing w:after="100"/>
      <w:ind w:left="280"/>
    </w:pPr>
    <w:rPr>
      <w:rFonts w:asciiTheme="majorBidi" w:eastAsia="Calibri" w:hAnsiTheme="majorBidi" w:cstheme="majorBidi"/>
      <w:sz w:val="28"/>
      <w:szCs w:val="28"/>
    </w:rPr>
  </w:style>
  <w:style w:type="paragraph" w:styleId="TOC3">
    <w:name w:val="toc 3"/>
    <w:basedOn w:val="Normal"/>
    <w:next w:val="Normal"/>
    <w:autoRedefine/>
    <w:uiPriority w:val="39"/>
    <w:unhideWhenUsed/>
    <w:rsid w:val="00010983"/>
    <w:pPr>
      <w:spacing w:after="100"/>
      <w:ind w:left="560"/>
    </w:pPr>
    <w:rPr>
      <w:rFonts w:asciiTheme="majorBidi" w:eastAsia="Calibri" w:hAnsiTheme="majorBidi" w:cstheme="majorBidi"/>
      <w:sz w:val="28"/>
      <w:szCs w:val="28"/>
    </w:rPr>
  </w:style>
  <w:style w:type="paragraph" w:styleId="TOC4">
    <w:name w:val="toc 4"/>
    <w:basedOn w:val="Normal"/>
    <w:next w:val="Normal"/>
    <w:autoRedefine/>
    <w:uiPriority w:val="39"/>
    <w:unhideWhenUsed/>
    <w:rsid w:val="00010983"/>
    <w:pPr>
      <w:spacing w:after="100"/>
      <w:ind w:left="840"/>
    </w:pPr>
    <w:rPr>
      <w:rFonts w:asciiTheme="majorBidi" w:eastAsia="Calibri" w:hAnsiTheme="majorBidi" w:cstheme="majorBidi"/>
      <w:sz w:val="28"/>
      <w:szCs w:val="28"/>
    </w:rPr>
  </w:style>
  <w:style w:type="paragraph" w:styleId="TOC5">
    <w:name w:val="toc 5"/>
    <w:basedOn w:val="Normal"/>
    <w:next w:val="Normal"/>
    <w:autoRedefine/>
    <w:uiPriority w:val="39"/>
    <w:unhideWhenUsed/>
    <w:rsid w:val="00010983"/>
    <w:pPr>
      <w:spacing w:after="100"/>
      <w:ind w:left="1120"/>
    </w:pPr>
    <w:rPr>
      <w:rFonts w:asciiTheme="majorBidi" w:eastAsia="Calibri" w:hAnsiTheme="majorBidi" w:cstheme="majorBidi"/>
      <w:sz w:val="28"/>
      <w:szCs w:val="28"/>
    </w:rPr>
  </w:style>
  <w:style w:type="paragraph" w:styleId="TableofFigures">
    <w:name w:val="table of figures"/>
    <w:basedOn w:val="Normal"/>
    <w:next w:val="Normal"/>
    <w:uiPriority w:val="99"/>
    <w:unhideWhenUsed/>
    <w:rsid w:val="00010983"/>
    <w:pPr>
      <w:spacing w:after="0"/>
    </w:pPr>
    <w:rPr>
      <w:rFonts w:asciiTheme="majorBidi" w:eastAsia="Calibri" w:hAnsiTheme="majorBidi" w:cstheme="majorBidi"/>
      <w:sz w:val="28"/>
      <w:szCs w:val="28"/>
    </w:rPr>
  </w:style>
  <w:style w:type="character" w:styleId="PlaceholderText">
    <w:name w:val="Placeholder Text"/>
    <w:basedOn w:val="DefaultParagraphFont"/>
    <w:uiPriority w:val="99"/>
    <w:semiHidden/>
    <w:rsid w:val="00C1643D"/>
    <w:rPr>
      <w:color w:val="808080"/>
    </w:rPr>
  </w:style>
  <w:style w:type="paragraph" w:styleId="Title">
    <w:name w:val="Title"/>
    <w:basedOn w:val="Normal"/>
    <w:next w:val="Normal"/>
    <w:link w:val="TitleChar"/>
    <w:uiPriority w:val="10"/>
    <w:qFormat/>
    <w:rsid w:val="007676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66C"/>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9098">
      <w:bodyDiv w:val="1"/>
      <w:marLeft w:val="0"/>
      <w:marRight w:val="0"/>
      <w:marTop w:val="0"/>
      <w:marBottom w:val="0"/>
      <w:divBdr>
        <w:top w:val="none" w:sz="0" w:space="0" w:color="auto"/>
        <w:left w:val="none" w:sz="0" w:space="0" w:color="auto"/>
        <w:bottom w:val="none" w:sz="0" w:space="0" w:color="auto"/>
        <w:right w:val="none" w:sz="0" w:space="0" w:color="auto"/>
      </w:divBdr>
    </w:div>
    <w:div w:id="485317221">
      <w:bodyDiv w:val="1"/>
      <w:marLeft w:val="0"/>
      <w:marRight w:val="0"/>
      <w:marTop w:val="0"/>
      <w:marBottom w:val="0"/>
      <w:divBdr>
        <w:top w:val="none" w:sz="0" w:space="0" w:color="auto"/>
        <w:left w:val="none" w:sz="0" w:space="0" w:color="auto"/>
        <w:bottom w:val="none" w:sz="0" w:space="0" w:color="auto"/>
        <w:right w:val="none" w:sz="0" w:space="0" w:color="auto"/>
      </w:divBdr>
    </w:div>
    <w:div w:id="510724060">
      <w:bodyDiv w:val="1"/>
      <w:marLeft w:val="0"/>
      <w:marRight w:val="0"/>
      <w:marTop w:val="0"/>
      <w:marBottom w:val="0"/>
      <w:divBdr>
        <w:top w:val="none" w:sz="0" w:space="0" w:color="auto"/>
        <w:left w:val="none" w:sz="0" w:space="0" w:color="auto"/>
        <w:bottom w:val="none" w:sz="0" w:space="0" w:color="auto"/>
        <w:right w:val="none" w:sz="0" w:space="0" w:color="auto"/>
      </w:divBdr>
    </w:div>
    <w:div w:id="671104966">
      <w:bodyDiv w:val="1"/>
      <w:marLeft w:val="0"/>
      <w:marRight w:val="0"/>
      <w:marTop w:val="0"/>
      <w:marBottom w:val="0"/>
      <w:divBdr>
        <w:top w:val="none" w:sz="0" w:space="0" w:color="auto"/>
        <w:left w:val="none" w:sz="0" w:space="0" w:color="auto"/>
        <w:bottom w:val="none" w:sz="0" w:space="0" w:color="auto"/>
        <w:right w:val="none" w:sz="0" w:space="0" w:color="auto"/>
      </w:divBdr>
    </w:div>
    <w:div w:id="697580471">
      <w:bodyDiv w:val="1"/>
      <w:marLeft w:val="0"/>
      <w:marRight w:val="0"/>
      <w:marTop w:val="0"/>
      <w:marBottom w:val="0"/>
      <w:divBdr>
        <w:top w:val="none" w:sz="0" w:space="0" w:color="auto"/>
        <w:left w:val="none" w:sz="0" w:space="0" w:color="auto"/>
        <w:bottom w:val="none" w:sz="0" w:space="0" w:color="auto"/>
        <w:right w:val="none" w:sz="0" w:space="0" w:color="auto"/>
      </w:divBdr>
    </w:div>
    <w:div w:id="1005747212">
      <w:bodyDiv w:val="1"/>
      <w:marLeft w:val="0"/>
      <w:marRight w:val="0"/>
      <w:marTop w:val="0"/>
      <w:marBottom w:val="0"/>
      <w:divBdr>
        <w:top w:val="none" w:sz="0" w:space="0" w:color="auto"/>
        <w:left w:val="none" w:sz="0" w:space="0" w:color="auto"/>
        <w:bottom w:val="none" w:sz="0" w:space="0" w:color="auto"/>
        <w:right w:val="none" w:sz="0" w:space="0" w:color="auto"/>
      </w:divBdr>
    </w:div>
    <w:div w:id="1567298998">
      <w:bodyDiv w:val="1"/>
      <w:marLeft w:val="0"/>
      <w:marRight w:val="0"/>
      <w:marTop w:val="0"/>
      <w:marBottom w:val="0"/>
      <w:divBdr>
        <w:top w:val="none" w:sz="0" w:space="0" w:color="auto"/>
        <w:left w:val="none" w:sz="0" w:space="0" w:color="auto"/>
        <w:bottom w:val="none" w:sz="0" w:space="0" w:color="auto"/>
        <w:right w:val="none" w:sz="0" w:space="0" w:color="auto"/>
      </w:divBdr>
    </w:div>
    <w:div w:id="1704600320">
      <w:bodyDiv w:val="1"/>
      <w:marLeft w:val="0"/>
      <w:marRight w:val="0"/>
      <w:marTop w:val="0"/>
      <w:marBottom w:val="0"/>
      <w:divBdr>
        <w:top w:val="none" w:sz="0" w:space="0" w:color="auto"/>
        <w:left w:val="none" w:sz="0" w:space="0" w:color="auto"/>
        <w:bottom w:val="none" w:sz="0" w:space="0" w:color="auto"/>
        <w:right w:val="none" w:sz="0" w:space="0" w:color="auto"/>
      </w:divBdr>
    </w:div>
    <w:div w:id="1978022794">
      <w:bodyDiv w:val="1"/>
      <w:marLeft w:val="0"/>
      <w:marRight w:val="0"/>
      <w:marTop w:val="0"/>
      <w:marBottom w:val="0"/>
      <w:divBdr>
        <w:top w:val="none" w:sz="0" w:space="0" w:color="auto"/>
        <w:left w:val="none" w:sz="0" w:space="0" w:color="auto"/>
        <w:bottom w:val="none" w:sz="0" w:space="0" w:color="auto"/>
        <w:right w:val="none" w:sz="0" w:space="0" w:color="auto"/>
      </w:divBdr>
    </w:div>
    <w:div w:id="21215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t.jallad@naja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2E47-B249-4E65-AA4B-F455105C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28</Pages>
  <Words>14326</Words>
  <Characters>81662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Ra'fat Jallad</dc:creator>
  <cp:keywords/>
  <dc:description/>
  <cp:lastModifiedBy>Dr. Ra'fat Jallad</cp:lastModifiedBy>
  <cp:revision>111</cp:revision>
  <dcterms:created xsi:type="dcterms:W3CDTF">2020-08-25T16:14:00Z</dcterms:created>
  <dcterms:modified xsi:type="dcterms:W3CDTF">2020-08-26T16:43:00Z</dcterms:modified>
</cp:coreProperties>
</file>