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538B" w14:textId="77777777" w:rsidR="009A13BB" w:rsidRPr="00126423" w:rsidRDefault="009A13BB" w:rsidP="009A13BB">
      <w:pPr>
        <w:bidi w:val="0"/>
        <w:rPr>
          <w:rFonts w:asciiTheme="majorBidi" w:hAnsiTheme="majorBidi" w:cstheme="majorBidi"/>
        </w:rPr>
        <w:sectPr w:rsidR="009A13BB" w:rsidRPr="00126423" w:rsidSect="00A12055">
          <w:headerReference w:type="default" r:id="rId8"/>
          <w:pgSz w:w="11906" w:h="16838"/>
          <w:pgMar w:top="1440" w:right="1800" w:bottom="1440" w:left="1800" w:header="706" w:footer="720" w:gutter="0"/>
          <w:pgNumType w:fmt="lowerRoman" w:start="1"/>
          <w:cols w:space="708"/>
          <w:titlePg/>
          <w:docGrid w:linePitch="360"/>
        </w:sectPr>
      </w:pPr>
      <w:bookmarkStart w:id="0" w:name="_Hlk161736687"/>
    </w:p>
    <w:p w14:paraId="791ECED0" w14:textId="77777777" w:rsidR="009A13BB" w:rsidRPr="00126423" w:rsidRDefault="009A13BB" w:rsidP="009A13BB">
      <w:pPr>
        <w:tabs>
          <w:tab w:val="center" w:pos="4153"/>
          <w:tab w:val="left" w:pos="4320"/>
          <w:tab w:val="left" w:pos="5040"/>
          <w:tab w:val="left" w:pos="5760"/>
        </w:tabs>
        <w:bidi w:val="0"/>
        <w:spacing w:after="0" w:line="240" w:lineRule="auto"/>
        <w:jc w:val="center"/>
        <w:rPr>
          <w:rFonts w:asciiTheme="majorBidi" w:hAnsiTheme="majorBidi" w:cstheme="majorBidi"/>
        </w:rPr>
      </w:pPr>
      <w:r w:rsidRPr="00126423">
        <w:rPr>
          <w:rFonts w:asciiTheme="majorBidi" w:eastAsiaTheme="majorEastAsia" w:hAnsiTheme="majorBidi" w:cstheme="majorBidi"/>
          <w:b/>
          <w:bCs/>
        </w:rPr>
        <w:lastRenderedPageBreak/>
        <w:t>Accounting Harmonization Dynamics in the Arab Middle East: A Comparative Analysis</w:t>
      </w:r>
    </w:p>
    <w:p w14:paraId="5E20EB96" w14:textId="7418E2BA" w:rsidR="008169A6" w:rsidRPr="008169A6" w:rsidRDefault="008169A6" w:rsidP="008169A6">
      <w:pPr>
        <w:tabs>
          <w:tab w:val="center" w:pos="4153"/>
          <w:tab w:val="left" w:pos="4320"/>
          <w:tab w:val="left" w:pos="5040"/>
          <w:tab w:val="left" w:pos="5760"/>
        </w:tabs>
        <w:bidi w:val="0"/>
        <w:spacing w:after="0" w:line="240" w:lineRule="auto"/>
        <w:jc w:val="center"/>
        <w:rPr>
          <w:rFonts w:asciiTheme="majorBidi" w:eastAsiaTheme="majorEastAsia" w:hAnsiTheme="majorBidi" w:cstheme="majorBidi"/>
          <w:lang w:val="en-GB"/>
        </w:rPr>
      </w:pPr>
      <w:r w:rsidRPr="008169A6">
        <w:rPr>
          <w:rFonts w:asciiTheme="majorBidi" w:eastAsiaTheme="majorEastAsia" w:hAnsiTheme="majorBidi" w:cstheme="majorBidi"/>
          <w:lang w:val="en-GB"/>
        </w:rPr>
        <w:t>Muiz Abu Alia</w:t>
      </w:r>
    </w:p>
    <w:p w14:paraId="2FFAD01B" w14:textId="77777777" w:rsidR="008169A6" w:rsidRPr="008169A6" w:rsidRDefault="008169A6" w:rsidP="008169A6">
      <w:pPr>
        <w:tabs>
          <w:tab w:val="center" w:pos="4153"/>
          <w:tab w:val="left" w:pos="4320"/>
          <w:tab w:val="left" w:pos="5040"/>
          <w:tab w:val="left" w:pos="5760"/>
        </w:tabs>
        <w:bidi w:val="0"/>
        <w:spacing w:after="0" w:line="240" w:lineRule="auto"/>
        <w:jc w:val="center"/>
        <w:rPr>
          <w:rFonts w:asciiTheme="majorBidi" w:eastAsiaTheme="majorEastAsia" w:hAnsiTheme="majorBidi" w:cstheme="majorBidi"/>
          <w:lang w:val="en-GB"/>
        </w:rPr>
      </w:pPr>
      <w:r w:rsidRPr="008169A6">
        <w:rPr>
          <w:rFonts w:asciiTheme="majorBidi" w:eastAsiaTheme="majorEastAsia" w:hAnsiTheme="majorBidi" w:cstheme="majorBidi"/>
          <w:lang w:val="en-GB"/>
        </w:rPr>
        <w:t xml:space="preserve">Aladdin </w:t>
      </w:r>
      <w:proofErr w:type="spellStart"/>
      <w:r w:rsidRPr="008169A6">
        <w:rPr>
          <w:rFonts w:asciiTheme="majorBidi" w:eastAsiaTheme="majorEastAsia" w:hAnsiTheme="majorBidi" w:cstheme="majorBidi"/>
          <w:lang w:val="en-GB"/>
        </w:rPr>
        <w:t>Dwekat</w:t>
      </w:r>
      <w:proofErr w:type="spellEnd"/>
    </w:p>
    <w:p w14:paraId="440E63E4" w14:textId="77777777" w:rsidR="008169A6" w:rsidRPr="008169A6" w:rsidRDefault="008169A6" w:rsidP="008169A6">
      <w:pPr>
        <w:tabs>
          <w:tab w:val="center" w:pos="4153"/>
          <w:tab w:val="left" w:pos="4320"/>
          <w:tab w:val="left" w:pos="5040"/>
          <w:tab w:val="left" w:pos="5760"/>
        </w:tabs>
        <w:bidi w:val="0"/>
        <w:spacing w:after="0" w:line="240" w:lineRule="auto"/>
        <w:jc w:val="center"/>
        <w:rPr>
          <w:rFonts w:asciiTheme="majorBidi" w:eastAsiaTheme="majorEastAsia" w:hAnsiTheme="majorBidi" w:cstheme="majorBidi"/>
          <w:lang w:val="en-GB"/>
        </w:rPr>
      </w:pPr>
      <w:r w:rsidRPr="008169A6">
        <w:rPr>
          <w:rFonts w:asciiTheme="majorBidi" w:eastAsiaTheme="majorEastAsia" w:hAnsiTheme="majorBidi" w:cstheme="majorBidi"/>
          <w:lang w:val="en-GB"/>
        </w:rPr>
        <w:t>Mohammad Yaaqbeh</w:t>
      </w:r>
    </w:p>
    <w:p w14:paraId="771AF1A0" w14:textId="77777777" w:rsidR="008169A6" w:rsidRPr="008169A6" w:rsidRDefault="008169A6" w:rsidP="008169A6">
      <w:pPr>
        <w:tabs>
          <w:tab w:val="center" w:pos="4153"/>
          <w:tab w:val="left" w:pos="4320"/>
          <w:tab w:val="left" w:pos="5040"/>
          <w:tab w:val="left" w:pos="5760"/>
        </w:tabs>
        <w:bidi w:val="0"/>
        <w:spacing w:after="0" w:line="240" w:lineRule="auto"/>
        <w:jc w:val="center"/>
        <w:rPr>
          <w:rFonts w:asciiTheme="majorBidi" w:eastAsiaTheme="majorEastAsia" w:hAnsiTheme="majorBidi" w:cstheme="majorBidi"/>
          <w:lang w:val="en-GB"/>
        </w:rPr>
      </w:pPr>
      <w:r w:rsidRPr="008169A6">
        <w:rPr>
          <w:rFonts w:asciiTheme="majorBidi" w:eastAsiaTheme="majorEastAsia" w:hAnsiTheme="majorBidi" w:cstheme="majorBidi"/>
          <w:lang w:val="en-GB"/>
        </w:rPr>
        <w:t>Bashar Fattouh</w:t>
      </w:r>
    </w:p>
    <w:p w14:paraId="5AF6C0D1" w14:textId="5FB4721F" w:rsidR="00DC0C1C" w:rsidRPr="00126423" w:rsidRDefault="008169A6" w:rsidP="008169A6">
      <w:pPr>
        <w:tabs>
          <w:tab w:val="center" w:pos="4153"/>
          <w:tab w:val="left" w:pos="4320"/>
          <w:tab w:val="left" w:pos="5040"/>
          <w:tab w:val="left" w:pos="5760"/>
        </w:tabs>
        <w:bidi w:val="0"/>
        <w:spacing w:after="0" w:line="240" w:lineRule="auto"/>
        <w:jc w:val="center"/>
        <w:rPr>
          <w:rFonts w:asciiTheme="majorBidi" w:hAnsiTheme="majorBidi" w:cstheme="majorBidi"/>
          <w:lang w:val="es-ES_tradnl"/>
        </w:rPr>
      </w:pPr>
      <w:r w:rsidRPr="008169A6">
        <w:rPr>
          <w:rFonts w:asciiTheme="majorBidi" w:eastAsiaTheme="majorEastAsia" w:hAnsiTheme="majorBidi" w:cstheme="majorBidi"/>
          <w:lang w:val="en-GB"/>
        </w:rPr>
        <w:t>Dana Hodali</w:t>
      </w:r>
    </w:p>
    <w:p w14:paraId="09683483" w14:textId="77777777" w:rsidR="009A13BB" w:rsidRPr="00126423" w:rsidRDefault="009A13BB" w:rsidP="009A13BB">
      <w:pPr>
        <w:pStyle w:val="Heading1"/>
        <w:spacing w:line="360" w:lineRule="auto"/>
        <w:jc w:val="center"/>
        <w:rPr>
          <w:rFonts w:asciiTheme="majorBidi" w:hAnsiTheme="majorBidi"/>
          <w:b/>
          <w:bCs/>
          <w:sz w:val="22"/>
          <w:szCs w:val="22"/>
          <w:lang w:val="es-ES_tradnl"/>
        </w:rPr>
      </w:pPr>
    </w:p>
    <w:p w14:paraId="7DB34CB1" w14:textId="77777777" w:rsidR="009A13BB" w:rsidRPr="00126423" w:rsidRDefault="009A13BB" w:rsidP="009A13BB">
      <w:pPr>
        <w:bidi w:val="0"/>
        <w:spacing w:after="240"/>
        <w:jc w:val="both"/>
        <w:rPr>
          <w:rFonts w:asciiTheme="majorBidi" w:hAnsiTheme="majorBidi" w:cstheme="majorBidi"/>
          <w:lang w:val="es-ES_tradnl"/>
        </w:rPr>
      </w:pPr>
      <w:proofErr w:type="spellStart"/>
      <w:r w:rsidRPr="00126423">
        <w:rPr>
          <w:rFonts w:asciiTheme="majorBidi" w:eastAsiaTheme="majorEastAsia" w:hAnsiTheme="majorBidi" w:cstheme="majorBidi"/>
          <w:b/>
          <w:bCs/>
          <w:color w:val="2F5496" w:themeColor="accent1" w:themeShade="BF"/>
          <w:sz w:val="32"/>
          <w:szCs w:val="32"/>
          <w:lang w:val="es-ES_tradnl"/>
        </w:rPr>
        <w:t>Absract</w:t>
      </w:r>
      <w:proofErr w:type="spellEnd"/>
    </w:p>
    <w:p w14:paraId="629230F6" w14:textId="694CED1D" w:rsidR="009A13BB" w:rsidRPr="008D2C92" w:rsidRDefault="009A13BB" w:rsidP="009A13BB">
      <w:pPr>
        <w:bidi w:val="0"/>
        <w:spacing w:after="240"/>
        <w:jc w:val="both"/>
        <w:rPr>
          <w:rFonts w:asciiTheme="majorBidi" w:hAnsiTheme="majorBidi" w:cstheme="majorBidi"/>
          <w:lang w:val="en-GB"/>
        </w:rPr>
      </w:pPr>
      <w:r w:rsidRPr="008D2C92">
        <w:rPr>
          <w:rFonts w:asciiTheme="majorBidi" w:hAnsiTheme="majorBidi" w:cstheme="majorBidi"/>
          <w:lang w:val="en-GB"/>
        </w:rPr>
        <w:t xml:space="preserve">This study investigates accounting harmonization across seven Middle Eastern countries, </w:t>
      </w:r>
      <w:proofErr w:type="spellStart"/>
      <w:r w:rsidRPr="008D2C92">
        <w:rPr>
          <w:rFonts w:asciiTheme="majorBidi" w:hAnsiTheme="majorBidi" w:cstheme="majorBidi"/>
          <w:lang w:val="en-GB"/>
        </w:rPr>
        <w:t>analyzing</w:t>
      </w:r>
      <w:proofErr w:type="spellEnd"/>
      <w:r w:rsidRPr="008D2C92">
        <w:rPr>
          <w:rFonts w:asciiTheme="majorBidi" w:hAnsiTheme="majorBidi" w:cstheme="majorBidi"/>
          <w:lang w:val="en-GB"/>
        </w:rPr>
        <w:t xml:space="preserve"> data from 255 industrial companies from 2016-2017. </w:t>
      </w:r>
      <w:r w:rsidR="00DC6EFA">
        <w:rPr>
          <w:rFonts w:asciiTheme="majorBidi" w:hAnsiTheme="majorBidi" w:cstheme="majorBidi"/>
          <w:lang w:val="en-GB"/>
        </w:rPr>
        <w:t xml:space="preserve">By </w:t>
      </w:r>
      <w:r w:rsidRPr="008D2C92">
        <w:rPr>
          <w:rFonts w:asciiTheme="majorBidi" w:hAnsiTheme="majorBidi" w:cstheme="majorBidi"/>
          <w:lang w:val="en-GB"/>
        </w:rPr>
        <w:t xml:space="preserve">Utilizing C-index and I-index metrics, the research </w:t>
      </w:r>
      <w:r w:rsidR="00DC6EFA">
        <w:rPr>
          <w:rFonts w:asciiTheme="majorBidi" w:hAnsiTheme="majorBidi" w:cstheme="majorBidi"/>
          <w:lang w:val="en-GB"/>
        </w:rPr>
        <w:t xml:space="preserve">aims to </w:t>
      </w:r>
      <w:r w:rsidRPr="008D2C92">
        <w:rPr>
          <w:rFonts w:asciiTheme="majorBidi" w:hAnsiTheme="majorBidi" w:cstheme="majorBidi"/>
          <w:lang w:val="en-GB"/>
        </w:rPr>
        <w:t xml:space="preserve">assess </w:t>
      </w:r>
      <w:r w:rsidR="00DC6EFA">
        <w:rPr>
          <w:rFonts w:asciiTheme="majorBidi" w:hAnsiTheme="majorBidi" w:cstheme="majorBidi"/>
          <w:lang w:val="en-GB"/>
        </w:rPr>
        <w:t xml:space="preserve">the </w:t>
      </w:r>
      <w:r w:rsidRPr="008D2C92">
        <w:rPr>
          <w:rFonts w:asciiTheme="majorBidi" w:hAnsiTheme="majorBidi" w:cstheme="majorBidi"/>
          <w:lang w:val="en-GB"/>
        </w:rPr>
        <w:t>harmonization within countries and between different accounting standards adopters. The primary focus</w:t>
      </w:r>
      <w:r w:rsidR="00DC6EFA">
        <w:rPr>
          <w:rFonts w:asciiTheme="majorBidi" w:hAnsiTheme="majorBidi" w:cstheme="majorBidi"/>
          <w:lang w:val="en-GB"/>
        </w:rPr>
        <w:t xml:space="preserve"> in the current research</w:t>
      </w:r>
      <w:r w:rsidRPr="008D2C92">
        <w:rPr>
          <w:rFonts w:asciiTheme="majorBidi" w:hAnsiTheme="majorBidi" w:cstheme="majorBidi"/>
          <w:lang w:val="en-GB"/>
        </w:rPr>
        <w:t xml:space="preserve"> is on seven key accounting measures, with an emphasis on understanding the extent and nature of harmonization practices in a diverse economic region.</w:t>
      </w:r>
    </w:p>
    <w:p w14:paraId="1D6D4794" w14:textId="77777777" w:rsidR="009A13BB" w:rsidRPr="008D2C92" w:rsidRDefault="009A13BB" w:rsidP="009A13BB">
      <w:pPr>
        <w:bidi w:val="0"/>
        <w:spacing w:after="240"/>
        <w:jc w:val="both"/>
        <w:rPr>
          <w:rFonts w:asciiTheme="majorBidi" w:hAnsiTheme="majorBidi" w:cstheme="majorBidi"/>
          <w:lang w:val="en-GB"/>
        </w:rPr>
      </w:pPr>
      <w:r w:rsidRPr="008D2C92">
        <w:rPr>
          <w:rFonts w:asciiTheme="majorBidi" w:hAnsiTheme="majorBidi" w:cstheme="majorBidi"/>
          <w:lang w:val="en-GB"/>
        </w:rPr>
        <w:t>The findings reveal a variety of harmonization levels. High harmonization is evident in inventory valuation, property, plant, and equipment valuation, straight-line depreciation, and foreign currency translation, suggesting alignment with standardized accounting practices. Conversely, borrowing costs, investment property valuation, and inventory costing methods exhibit lower harmonization, attributed to the flexibility within accounting standards and regional economic conditions.</w:t>
      </w:r>
    </w:p>
    <w:p w14:paraId="045FB610" w14:textId="7BAD1835" w:rsidR="009A13BB" w:rsidRPr="008D2C92" w:rsidRDefault="009A13BB" w:rsidP="00742483">
      <w:pPr>
        <w:bidi w:val="0"/>
        <w:spacing w:after="240"/>
        <w:jc w:val="both"/>
        <w:rPr>
          <w:rFonts w:asciiTheme="majorBidi" w:hAnsiTheme="majorBidi" w:cstheme="majorBidi"/>
          <w:lang w:val="en-GB"/>
        </w:rPr>
      </w:pPr>
      <w:r w:rsidRPr="008D2C92">
        <w:rPr>
          <w:rFonts w:asciiTheme="majorBidi" w:hAnsiTheme="majorBidi" w:cstheme="majorBidi"/>
          <w:lang w:val="en-GB"/>
        </w:rPr>
        <w:t>A significant aspect of the study is comparing international</w:t>
      </w:r>
      <w:r w:rsidR="00742483">
        <w:rPr>
          <w:rFonts w:asciiTheme="majorBidi" w:hAnsiTheme="majorBidi" w:cstheme="majorBidi"/>
          <w:lang w:val="en-GB"/>
        </w:rPr>
        <w:t xml:space="preserve"> financial reporting</w:t>
      </w:r>
      <w:r w:rsidRPr="008D2C92">
        <w:rPr>
          <w:rFonts w:asciiTheme="majorBidi" w:hAnsiTheme="majorBidi" w:cstheme="majorBidi"/>
          <w:lang w:val="en-GB"/>
        </w:rPr>
        <w:t xml:space="preserve"> standards (IFRS) adopters with local standards users. The results indicate that while IFRS generally promotes higher harmonization, it does not uniformly guarantee this across all accounting areas. This highlights the influence of local economic and industry-specific factors on accounting practices, alongside global standards.</w:t>
      </w:r>
    </w:p>
    <w:p w14:paraId="66D82740" w14:textId="77777777" w:rsidR="009A13BB" w:rsidRDefault="009A13BB" w:rsidP="009A13BB">
      <w:pPr>
        <w:bidi w:val="0"/>
        <w:spacing w:after="240"/>
        <w:jc w:val="both"/>
        <w:rPr>
          <w:rFonts w:asciiTheme="majorBidi" w:hAnsiTheme="majorBidi" w:cstheme="majorBidi"/>
          <w:lang w:val="en-GB"/>
        </w:rPr>
      </w:pPr>
      <w:r w:rsidRPr="008D2C92">
        <w:rPr>
          <w:rFonts w:asciiTheme="majorBidi" w:hAnsiTheme="majorBidi" w:cstheme="majorBidi"/>
          <w:lang w:val="en-GB"/>
        </w:rPr>
        <w:t>Conclusively, the study underscores the need for aligning local accounting practices with global standards like IFRS to enhance comparability and transparency in financial reporting. It contributes to the discourse on global accounting harmonization, suggesting a nuanced approach to standardization that considers local specificities. The findings are vital for policymakers, standard-setters, and financial analysts, offering insights for achieving more uniform accounting practices worldwide.</w:t>
      </w:r>
    </w:p>
    <w:p w14:paraId="0D66BF3C" w14:textId="77777777" w:rsidR="009A13BB" w:rsidRDefault="009A13BB" w:rsidP="009A13BB">
      <w:pPr>
        <w:tabs>
          <w:tab w:val="left" w:pos="1280"/>
        </w:tabs>
        <w:bidi w:val="0"/>
        <w:rPr>
          <w:rFonts w:asciiTheme="majorBidi" w:hAnsiTheme="majorBidi"/>
          <w:b/>
          <w:bCs/>
          <w:lang w:bidi="ar-JO"/>
        </w:rPr>
      </w:pPr>
      <w:r w:rsidRPr="00126423">
        <w:rPr>
          <w:rFonts w:asciiTheme="majorBidi" w:hAnsiTheme="majorBidi" w:cstheme="majorBidi"/>
          <w:b/>
          <w:bCs/>
        </w:rPr>
        <w:t>Keywords:</w:t>
      </w:r>
      <w:r w:rsidRPr="008D2C92">
        <w:rPr>
          <w:rFonts w:asciiTheme="majorBidi" w:hAnsiTheme="majorBidi" w:cstheme="majorBidi"/>
        </w:rPr>
        <w:t xml:space="preserve"> Accounting Harmonization, Middle Eastern Countries, International Financial Reporting Standards (IFRS), Comparative Accounting Practices.</w:t>
      </w:r>
      <w:bookmarkStart w:id="1" w:name="_Toc11090774"/>
    </w:p>
    <w:p w14:paraId="39C31360" w14:textId="77777777" w:rsidR="009A13BB" w:rsidRPr="00126423" w:rsidRDefault="009A13BB" w:rsidP="009A13BB">
      <w:pPr>
        <w:tabs>
          <w:tab w:val="left" w:pos="1280"/>
        </w:tabs>
        <w:bidi w:val="0"/>
        <w:rPr>
          <w:rFonts w:asciiTheme="majorBidi" w:hAnsiTheme="majorBidi" w:cstheme="majorBidi"/>
          <w:b/>
          <w:bCs/>
        </w:rPr>
      </w:pPr>
      <w:r w:rsidRPr="00126423">
        <w:rPr>
          <w:rFonts w:asciiTheme="majorBidi" w:hAnsiTheme="majorBidi" w:cstheme="majorBidi"/>
          <w:b/>
          <w:bCs/>
        </w:rPr>
        <w:t>1. Introduction</w:t>
      </w:r>
      <w:bookmarkEnd w:id="1"/>
    </w:p>
    <w:p w14:paraId="0BCB14A8" w14:textId="5E8220DF" w:rsidR="009A13BB" w:rsidRPr="00126423" w:rsidRDefault="009A13BB" w:rsidP="009A13BB">
      <w:pPr>
        <w:shd w:val="clear" w:color="auto" w:fill="FFFFFF"/>
        <w:bidi w:val="0"/>
        <w:spacing w:before="100" w:beforeAutospacing="1" w:after="100" w:afterAutospacing="1" w:line="360" w:lineRule="auto"/>
        <w:jc w:val="both"/>
        <w:rPr>
          <w:rFonts w:asciiTheme="majorBidi" w:hAnsiTheme="majorBidi" w:cstheme="majorBidi"/>
          <w:rtl/>
        </w:rPr>
      </w:pPr>
      <w:r w:rsidRPr="00126423">
        <w:rPr>
          <w:rFonts w:asciiTheme="majorBidi" w:hAnsiTheme="majorBidi" w:cstheme="majorBidi"/>
        </w:rPr>
        <w:t>Following globalization, accompanied by technological innovation, capital markets around the world have become more integrated</w:t>
      </w:r>
      <w:r w:rsidR="002272FA">
        <w:rPr>
          <w:rFonts w:asciiTheme="majorBidi" w:hAnsiTheme="majorBidi" w:cstheme="majorBidi"/>
        </w:rPr>
        <w:t xml:space="preserve"> </w:t>
      </w:r>
      <w:sdt>
        <w:sdtPr>
          <w:rPr>
            <w:rFonts w:asciiTheme="majorBidi" w:hAnsiTheme="majorBidi" w:cstheme="majorBidi"/>
          </w:rPr>
          <w:id w:val="682093517"/>
          <w:citation/>
        </w:sdtPr>
        <w:sdtEndPr/>
        <w:sdtContent>
          <w:r w:rsidRPr="00126423">
            <w:rPr>
              <w:rFonts w:asciiTheme="majorBidi" w:hAnsiTheme="majorBidi" w:cstheme="majorBidi"/>
            </w:rPr>
            <w:fldChar w:fldCharType="begin"/>
          </w:r>
          <w:r w:rsidRPr="00126423">
            <w:rPr>
              <w:rFonts w:asciiTheme="majorBidi" w:hAnsiTheme="majorBidi" w:cstheme="majorBidi"/>
            </w:rPr>
            <w:instrText xml:space="preserve"> CITATION Moj00 \l 1033 </w:instrText>
          </w:r>
          <w:r w:rsidRPr="00126423">
            <w:rPr>
              <w:rFonts w:asciiTheme="majorBidi" w:hAnsiTheme="majorBidi" w:cstheme="majorBidi"/>
            </w:rPr>
            <w:fldChar w:fldCharType="separate"/>
          </w:r>
          <w:r w:rsidRPr="00894D25">
            <w:rPr>
              <w:rFonts w:asciiTheme="majorBidi" w:hAnsiTheme="majorBidi" w:cstheme="majorBidi"/>
              <w:noProof/>
            </w:rPr>
            <w:t>(Mrak, 2000)</w:t>
          </w:r>
          <w:r w:rsidRPr="00126423">
            <w:rPr>
              <w:rFonts w:asciiTheme="majorBidi" w:hAnsiTheme="majorBidi" w:cstheme="majorBidi"/>
            </w:rPr>
            <w:fldChar w:fldCharType="end"/>
          </w:r>
        </w:sdtContent>
      </w:sdt>
      <w:r w:rsidRPr="00126423">
        <w:rPr>
          <w:rFonts w:asciiTheme="majorBidi" w:hAnsiTheme="majorBidi" w:cstheme="majorBidi"/>
        </w:rPr>
        <w:t xml:space="preserve">. Operating, financing and investing activities of firms are no longer limited to their countries, and </w:t>
      </w:r>
      <w:proofErr w:type="spellStart"/>
      <w:r w:rsidRPr="00126423">
        <w:rPr>
          <w:rFonts w:asciiTheme="majorBidi" w:hAnsiTheme="majorBidi" w:cstheme="majorBidi"/>
        </w:rPr>
        <w:t>multinationality</w:t>
      </w:r>
      <w:proofErr w:type="spellEnd"/>
      <w:r w:rsidRPr="00126423">
        <w:rPr>
          <w:rFonts w:asciiTheme="majorBidi" w:hAnsiTheme="majorBidi" w:cstheme="majorBidi"/>
        </w:rPr>
        <w:t xml:space="preserve"> of companies has figured as an important attribute of the today business. </w:t>
      </w:r>
      <w:r w:rsidR="00057C2D" w:rsidRPr="00126423">
        <w:rPr>
          <w:rFonts w:asciiTheme="majorBidi" w:hAnsiTheme="majorBidi" w:cstheme="majorBidi"/>
        </w:rPr>
        <w:t>Furthermore, the</w:t>
      </w:r>
      <w:r w:rsidRPr="00126423">
        <w:rPr>
          <w:rFonts w:asciiTheme="majorBidi" w:hAnsiTheme="majorBidi" w:cstheme="majorBidi"/>
        </w:rPr>
        <w:t xml:space="preserve"> global economy has changed as the volume of international trade and foreign direct investment has been enhanced </w:t>
      </w:r>
      <w:sdt>
        <w:sdtPr>
          <w:rPr>
            <w:rFonts w:asciiTheme="majorBidi" w:hAnsiTheme="majorBidi" w:cstheme="majorBidi"/>
          </w:rPr>
          <w:id w:val="-1994168314"/>
          <w:citation/>
        </w:sdtPr>
        <w:sdtEndPr/>
        <w:sdtContent>
          <w:r w:rsidR="009006A3">
            <w:rPr>
              <w:rFonts w:asciiTheme="majorBidi" w:hAnsiTheme="majorBidi" w:cstheme="majorBidi"/>
            </w:rPr>
            <w:fldChar w:fldCharType="begin"/>
          </w:r>
          <w:r w:rsidR="009006A3">
            <w:rPr>
              <w:rFonts w:asciiTheme="majorBidi" w:hAnsiTheme="majorBidi" w:cstheme="majorBidi"/>
            </w:rPr>
            <w:instrText xml:space="preserve"> CITATION Ell22 \l 1033 </w:instrText>
          </w:r>
          <w:r w:rsidR="009006A3">
            <w:rPr>
              <w:rFonts w:asciiTheme="majorBidi" w:hAnsiTheme="majorBidi" w:cstheme="majorBidi"/>
            </w:rPr>
            <w:fldChar w:fldCharType="separate"/>
          </w:r>
          <w:r w:rsidR="009006A3">
            <w:rPr>
              <w:rFonts w:asciiTheme="majorBidi" w:hAnsiTheme="majorBidi" w:cstheme="majorBidi"/>
              <w:noProof/>
            </w:rPr>
            <w:t xml:space="preserve"> </w:t>
          </w:r>
          <w:r w:rsidR="009006A3" w:rsidRPr="009006A3">
            <w:rPr>
              <w:rFonts w:asciiTheme="majorBidi" w:hAnsiTheme="majorBidi" w:cstheme="majorBidi"/>
              <w:noProof/>
            </w:rPr>
            <w:t>(Elliott &amp; Elliot, 2022)</w:t>
          </w:r>
          <w:r w:rsidR="009006A3">
            <w:rPr>
              <w:rFonts w:asciiTheme="majorBidi" w:hAnsiTheme="majorBidi" w:cstheme="majorBidi"/>
            </w:rPr>
            <w:fldChar w:fldCharType="end"/>
          </w:r>
        </w:sdtContent>
      </w:sdt>
      <w:r w:rsidRPr="00126423">
        <w:rPr>
          <w:rFonts w:asciiTheme="majorBidi" w:hAnsiTheme="majorBidi" w:cstheme="majorBidi"/>
        </w:rPr>
        <w:t xml:space="preserve">. The international accounting community had to has a relevant appropriate </w:t>
      </w:r>
      <w:r w:rsidRPr="00126423">
        <w:rPr>
          <w:rFonts w:asciiTheme="majorBidi" w:hAnsiTheme="majorBidi" w:cstheme="majorBidi"/>
        </w:rPr>
        <w:lastRenderedPageBreak/>
        <w:t xml:space="preserve">response. As a result, comparability has been enhanced as a one of the qualitative characteristics of the financial statements that meet the needs of users on the international level </w:t>
      </w:r>
      <w:r w:rsidRPr="00126423">
        <w:rPr>
          <w:rFonts w:asciiTheme="majorBidi" w:hAnsiTheme="majorBidi" w:cstheme="majorBidi"/>
          <w:noProof/>
        </w:rPr>
        <w:t>(SEC, 2000; Wang, 2011</w:t>
      </w:r>
      <w:r w:rsidR="004F0490">
        <w:rPr>
          <w:rFonts w:asciiTheme="majorBidi" w:hAnsiTheme="majorBidi" w:cstheme="majorBidi"/>
          <w:noProof/>
        </w:rPr>
        <w:t>; IASB, 2018</w:t>
      </w:r>
      <w:r w:rsidRPr="00126423">
        <w:rPr>
          <w:rFonts w:asciiTheme="majorBidi" w:hAnsiTheme="majorBidi" w:cstheme="majorBidi"/>
          <w:noProof/>
        </w:rPr>
        <w:t>)</w:t>
      </w:r>
      <w:r w:rsidRPr="00126423">
        <w:rPr>
          <w:rFonts w:asciiTheme="majorBidi" w:hAnsiTheme="majorBidi" w:cstheme="majorBidi"/>
        </w:rPr>
        <w:t xml:space="preserve">. </w:t>
      </w:r>
    </w:p>
    <w:p w14:paraId="08E42F27" w14:textId="79B56E44" w:rsidR="009A13BB" w:rsidRPr="00126423" w:rsidRDefault="009A13BB" w:rsidP="009A13BB">
      <w:pPr>
        <w:autoSpaceDE w:val="0"/>
        <w:autoSpaceDN w:val="0"/>
        <w:bidi w:val="0"/>
        <w:adjustRightInd w:val="0"/>
        <w:spacing w:line="360" w:lineRule="auto"/>
        <w:jc w:val="both"/>
        <w:rPr>
          <w:rFonts w:asciiTheme="majorBidi" w:hAnsiTheme="majorBidi" w:cstheme="majorBidi"/>
        </w:rPr>
      </w:pPr>
      <w:r w:rsidRPr="00126423">
        <w:rPr>
          <w:rFonts w:asciiTheme="majorBidi" w:hAnsiTheme="majorBidi" w:cstheme="majorBidi"/>
        </w:rPr>
        <w:t xml:space="preserve">The usefulness of the financial statements for users of accounting information is dependent on the availability of specific characteristics including comparability. The IASB and its predecessor, the International Accounting Standards Committee (IASC), have always sought to improve comparability of the financial statements prepared using the IAS/IFRS </w:t>
      </w:r>
      <w:r w:rsidRPr="00126423">
        <w:rPr>
          <w:rFonts w:asciiTheme="majorBidi" w:hAnsiTheme="majorBidi" w:cstheme="majorBidi"/>
          <w:noProof/>
        </w:rPr>
        <w:t>(Basoglu &amp; Goma, 2002; Berton, 1999</w:t>
      </w:r>
      <w:r w:rsidR="002074F0">
        <w:rPr>
          <w:rFonts w:asciiTheme="majorBidi" w:hAnsiTheme="majorBidi" w:cstheme="majorBidi"/>
          <w:noProof/>
        </w:rPr>
        <w:t>;</w:t>
      </w:r>
      <w:r w:rsidR="002074F0" w:rsidRPr="002074F0">
        <w:rPr>
          <w:rFonts w:asciiTheme="majorBidi" w:hAnsiTheme="majorBidi" w:cstheme="majorBidi"/>
          <w:noProof/>
        </w:rPr>
        <w:t xml:space="preserve"> Elliot</w:t>
      </w:r>
      <w:r w:rsidR="002074F0">
        <w:rPr>
          <w:rFonts w:asciiTheme="majorBidi" w:hAnsiTheme="majorBidi" w:cstheme="majorBidi"/>
          <w:noProof/>
        </w:rPr>
        <w:t xml:space="preserve"> </w:t>
      </w:r>
      <w:r w:rsidR="002074F0" w:rsidRPr="002074F0">
        <w:rPr>
          <w:rFonts w:asciiTheme="majorBidi" w:hAnsiTheme="majorBidi" w:cstheme="majorBidi"/>
          <w:noProof/>
        </w:rPr>
        <w:t>&amp; Elliot, 2022</w:t>
      </w:r>
      <w:r w:rsidRPr="00126423">
        <w:rPr>
          <w:rFonts w:asciiTheme="majorBidi" w:hAnsiTheme="majorBidi" w:cstheme="majorBidi"/>
          <w:noProof/>
        </w:rPr>
        <w:t>)</w:t>
      </w:r>
      <w:r w:rsidRPr="00126423">
        <w:rPr>
          <w:rFonts w:asciiTheme="majorBidi" w:hAnsiTheme="majorBidi" w:cstheme="majorBidi"/>
        </w:rPr>
        <w:t xml:space="preserve">. Comparability enables users to identify the trends of the firm performance and financial position trends of an entity, and to compare between different entities </w:t>
      </w:r>
      <w:r w:rsidRPr="00126423">
        <w:rPr>
          <w:rFonts w:asciiTheme="majorBidi" w:hAnsiTheme="majorBidi" w:cstheme="majorBidi"/>
          <w:noProof/>
        </w:rPr>
        <w:t xml:space="preserve">(IASB, </w:t>
      </w:r>
      <w:r w:rsidR="002074F0">
        <w:rPr>
          <w:rFonts w:asciiTheme="majorBidi" w:hAnsiTheme="majorBidi" w:cstheme="majorBidi"/>
          <w:noProof/>
        </w:rPr>
        <w:t>2018</w:t>
      </w:r>
      <w:r w:rsidRPr="00126423">
        <w:rPr>
          <w:rFonts w:asciiTheme="majorBidi" w:hAnsiTheme="majorBidi" w:cstheme="majorBidi"/>
          <w:noProof/>
        </w:rPr>
        <w:t>)</w:t>
      </w:r>
      <w:r w:rsidRPr="00126423">
        <w:rPr>
          <w:rFonts w:asciiTheme="majorBidi" w:hAnsiTheme="majorBidi" w:cstheme="majorBidi"/>
        </w:rPr>
        <w:t>.</w:t>
      </w:r>
    </w:p>
    <w:p w14:paraId="34F18E89" w14:textId="1FCCDE9F" w:rsidR="009A13BB" w:rsidRPr="00126423" w:rsidRDefault="009A13BB" w:rsidP="009A13BB">
      <w:pPr>
        <w:autoSpaceDE w:val="0"/>
        <w:autoSpaceDN w:val="0"/>
        <w:bidi w:val="0"/>
        <w:adjustRightInd w:val="0"/>
        <w:spacing w:line="360" w:lineRule="auto"/>
        <w:jc w:val="both"/>
        <w:rPr>
          <w:rFonts w:asciiTheme="majorBidi" w:hAnsiTheme="majorBidi" w:cstheme="majorBidi"/>
          <w:rtl/>
        </w:rPr>
      </w:pPr>
      <w:r w:rsidRPr="00126423">
        <w:rPr>
          <w:rFonts w:asciiTheme="majorBidi" w:hAnsiTheme="majorBidi" w:cstheme="majorBidi"/>
        </w:rPr>
        <w:t xml:space="preserve">Nowadays the majority of the countries, including Arab countries, permits or requires the use of IFRS (IFRS. Org, 2024), with the purpose of benefiting from the accompanied advantages </w:t>
      </w:r>
      <w:r w:rsidRPr="00126423">
        <w:rPr>
          <w:rFonts w:asciiTheme="majorBidi" w:hAnsiTheme="majorBidi" w:cstheme="majorBidi"/>
          <w:noProof/>
        </w:rPr>
        <w:t>(Chitt, 2015)</w:t>
      </w:r>
      <w:r w:rsidRPr="00126423">
        <w:rPr>
          <w:rFonts w:asciiTheme="majorBidi" w:hAnsiTheme="majorBidi" w:cstheme="majorBidi"/>
        </w:rPr>
        <w:t xml:space="preserve">. However, while IFRS adoption is formally (de jure harmonization) increasing, the practical (de facto) harmonization is still questionable given the cultural, legal, political and economic differences prevailed in countries (Alia, 2010; Alia &amp; Branson, 20211a; Alia &amp; Branson, 2011b; </w:t>
      </w:r>
      <w:r w:rsidR="006B45E1" w:rsidRPr="002074F0">
        <w:rPr>
          <w:rFonts w:asciiTheme="majorBidi" w:hAnsiTheme="majorBidi" w:cstheme="majorBidi"/>
          <w:noProof/>
        </w:rPr>
        <w:t>Elliot</w:t>
      </w:r>
      <w:r w:rsidR="006B45E1">
        <w:rPr>
          <w:rFonts w:asciiTheme="majorBidi" w:hAnsiTheme="majorBidi" w:cstheme="majorBidi"/>
          <w:noProof/>
        </w:rPr>
        <w:t xml:space="preserve"> </w:t>
      </w:r>
      <w:r w:rsidR="006B45E1" w:rsidRPr="002074F0">
        <w:rPr>
          <w:rFonts w:asciiTheme="majorBidi" w:hAnsiTheme="majorBidi" w:cstheme="majorBidi"/>
          <w:noProof/>
        </w:rPr>
        <w:t>&amp; Elliot, 2022</w:t>
      </w:r>
      <w:r w:rsidRPr="00126423">
        <w:rPr>
          <w:rFonts w:asciiTheme="majorBidi" w:hAnsiTheme="majorBidi" w:cstheme="majorBidi"/>
        </w:rPr>
        <w:t>;</w:t>
      </w:r>
      <w:r w:rsidRPr="00126423">
        <w:rPr>
          <w:rFonts w:asciiTheme="majorBidi" w:hAnsiTheme="majorBidi" w:cstheme="majorBidi"/>
          <w:noProof/>
        </w:rPr>
        <w:t xml:space="preserve"> Chen</w:t>
      </w:r>
      <w:r w:rsidR="006B45E1">
        <w:rPr>
          <w:rFonts w:asciiTheme="majorBidi" w:hAnsiTheme="majorBidi" w:cstheme="majorBidi"/>
          <w:noProof/>
        </w:rPr>
        <w:t>,</w:t>
      </w:r>
      <w:r w:rsidRPr="00126423">
        <w:rPr>
          <w:rFonts w:asciiTheme="majorBidi" w:hAnsiTheme="majorBidi" w:cstheme="majorBidi"/>
          <w:noProof/>
        </w:rPr>
        <w:t xml:space="preserve"> 2002</w:t>
      </w:r>
      <w:r w:rsidR="006B45E1">
        <w:rPr>
          <w:rFonts w:asciiTheme="majorBidi" w:hAnsiTheme="majorBidi" w:cstheme="majorBidi"/>
          <w:noProof/>
        </w:rPr>
        <w:t>;</w:t>
      </w:r>
      <w:r w:rsidR="00584E0B">
        <w:rPr>
          <w:rFonts w:asciiTheme="majorBidi" w:hAnsiTheme="majorBidi" w:cstheme="majorBidi"/>
          <w:noProof/>
        </w:rPr>
        <w:t xml:space="preserve"> </w:t>
      </w:r>
      <w:r w:rsidR="00584E0B" w:rsidRPr="00584E0B">
        <w:rPr>
          <w:rFonts w:asciiTheme="majorBidi" w:hAnsiTheme="majorBidi" w:cstheme="majorBidi"/>
          <w:noProof/>
        </w:rPr>
        <w:t>Lee &amp; Choi , 2024</w:t>
      </w:r>
      <w:r w:rsidRPr="00126423">
        <w:rPr>
          <w:rFonts w:asciiTheme="majorBidi" w:hAnsiTheme="majorBidi" w:cstheme="majorBidi"/>
        </w:rPr>
        <w:t xml:space="preserve">). Other studies questioned the appropriateness of the IFRS for non-developed countries implying the difficulty of achieving the promised advantages. </w:t>
      </w:r>
    </w:p>
    <w:p w14:paraId="31F5ED6B" w14:textId="40F27949" w:rsidR="009A13BB" w:rsidRPr="00126423" w:rsidRDefault="009A13BB" w:rsidP="009A13BB">
      <w:pPr>
        <w:bidi w:val="0"/>
        <w:spacing w:line="360" w:lineRule="auto"/>
        <w:jc w:val="both"/>
        <w:rPr>
          <w:rFonts w:asciiTheme="majorBidi" w:hAnsiTheme="majorBidi" w:cstheme="majorBidi"/>
        </w:rPr>
      </w:pPr>
      <w:r w:rsidRPr="00126423">
        <w:rPr>
          <w:rFonts w:asciiTheme="majorBidi" w:hAnsiTheme="majorBidi" w:cstheme="majorBidi"/>
        </w:rPr>
        <w:t xml:space="preserve">Due to the environmental differences, companies find themselves define, recognize and measure items of the financial statements differently </w:t>
      </w:r>
      <w:r w:rsidRPr="00126423">
        <w:rPr>
          <w:rFonts w:asciiTheme="majorBidi" w:hAnsiTheme="majorBidi" w:cstheme="majorBidi"/>
          <w:noProof/>
        </w:rPr>
        <w:t xml:space="preserve">(Barth, Mary, &amp; Lang, 2008; Qu &amp; Zhang, 2008; </w:t>
      </w:r>
      <w:proofErr w:type="spellStart"/>
      <w:r w:rsidRPr="00126423">
        <w:rPr>
          <w:rFonts w:asciiTheme="majorBidi" w:hAnsiTheme="majorBidi" w:cstheme="majorBidi"/>
        </w:rPr>
        <w:t>Doubnik</w:t>
      </w:r>
      <w:proofErr w:type="spellEnd"/>
      <w:r w:rsidRPr="00126423">
        <w:rPr>
          <w:rFonts w:asciiTheme="majorBidi" w:hAnsiTheme="majorBidi" w:cstheme="majorBidi"/>
        </w:rPr>
        <w:t xml:space="preserve"> et al, 2024). Even when the same standards are used, financial reporting practices are different following the way they are interpreted and applied by companies. This study addresses the extent of accounting harmonization in the Arab Middle Eastern countries. </w:t>
      </w:r>
      <w:r w:rsidR="00321205">
        <w:rPr>
          <w:rFonts w:asciiTheme="majorBidi" w:hAnsiTheme="majorBidi" w:cstheme="majorBidi"/>
        </w:rPr>
        <w:t>In detail, i</w:t>
      </w:r>
      <w:r w:rsidRPr="00126423">
        <w:rPr>
          <w:rFonts w:asciiTheme="majorBidi" w:hAnsiTheme="majorBidi" w:cstheme="majorBidi"/>
        </w:rPr>
        <w:t xml:space="preserve">t investigates the harmonization degree of the accounting measurements used in these countries.  </w:t>
      </w:r>
    </w:p>
    <w:p w14:paraId="42A1FEEF" w14:textId="33283E95" w:rsidR="009A13BB" w:rsidRPr="00126423" w:rsidRDefault="009A13BB" w:rsidP="007523AC">
      <w:pPr>
        <w:autoSpaceDE w:val="0"/>
        <w:autoSpaceDN w:val="0"/>
        <w:bidi w:val="0"/>
        <w:adjustRightInd w:val="0"/>
        <w:spacing w:line="360" w:lineRule="auto"/>
        <w:jc w:val="both"/>
        <w:rPr>
          <w:rFonts w:asciiTheme="majorBidi" w:hAnsiTheme="majorBidi" w:cstheme="majorBidi"/>
        </w:rPr>
      </w:pPr>
      <w:r w:rsidRPr="00126423">
        <w:rPr>
          <w:rFonts w:asciiTheme="majorBidi" w:hAnsiTheme="majorBidi" w:cstheme="majorBidi"/>
        </w:rPr>
        <w:t xml:space="preserve">Therefore, availability of comparable financial statement between companies is questionable due to the prevailing circumstances related to the factors affecting financial reporting practices, either within the same country or among different countries. This study addresses this issue as it investigates the comparability of financial statements prepared by 255 companies listed on </w:t>
      </w:r>
      <w:r w:rsidR="00AF25B2">
        <w:rPr>
          <w:rFonts w:asciiTheme="majorBidi" w:hAnsiTheme="majorBidi" w:cstheme="majorBidi"/>
        </w:rPr>
        <w:t>seven</w:t>
      </w:r>
      <w:r w:rsidRPr="00126423">
        <w:rPr>
          <w:rFonts w:asciiTheme="majorBidi" w:hAnsiTheme="majorBidi" w:cstheme="majorBidi"/>
        </w:rPr>
        <w:t xml:space="preserve"> stock exchanges in the Arab Middle Eastern countries. Precisely, it assesses the harmonization degree of 7 accounting measurement methods of 255 industrial companies from Egypt, Saudi Arabia, Jordan, Oman, Kuwait, Qatar and Palestine</w:t>
      </w:r>
      <w:r w:rsidR="00631BEF">
        <w:rPr>
          <w:rFonts w:asciiTheme="majorBidi" w:hAnsiTheme="majorBidi" w:cstheme="majorBidi"/>
        </w:rPr>
        <w:t xml:space="preserve">. In detail, </w:t>
      </w:r>
      <w:r w:rsidR="009C15BD">
        <w:rPr>
          <w:rFonts w:asciiTheme="majorBidi" w:hAnsiTheme="majorBidi" w:cstheme="majorBidi"/>
        </w:rPr>
        <w:t xml:space="preserve">the degree of </w:t>
      </w:r>
      <w:r w:rsidRPr="00126423">
        <w:rPr>
          <w:rFonts w:asciiTheme="majorBidi" w:hAnsiTheme="majorBidi" w:cstheme="majorBidi"/>
        </w:rPr>
        <w:t>harmoniz</w:t>
      </w:r>
      <w:r w:rsidR="009C15BD">
        <w:rPr>
          <w:rFonts w:asciiTheme="majorBidi" w:hAnsiTheme="majorBidi" w:cstheme="majorBidi"/>
        </w:rPr>
        <w:t xml:space="preserve">ation </w:t>
      </w:r>
      <w:r w:rsidR="00CA5776">
        <w:rPr>
          <w:rFonts w:asciiTheme="majorBidi" w:hAnsiTheme="majorBidi" w:cstheme="majorBidi"/>
        </w:rPr>
        <w:t>is measured</w:t>
      </w:r>
      <w:r w:rsidRPr="00126423">
        <w:rPr>
          <w:rFonts w:asciiTheme="majorBidi" w:hAnsiTheme="majorBidi" w:cstheme="majorBidi"/>
        </w:rPr>
        <w:t xml:space="preserve"> in these countries (within- country comparability), and between the countries (between-country comparability. Moreover, the study examines whether the financial </w:t>
      </w:r>
      <w:r w:rsidRPr="00126423">
        <w:rPr>
          <w:rFonts w:asciiTheme="majorBidi" w:hAnsiTheme="majorBidi" w:cstheme="majorBidi"/>
        </w:rPr>
        <w:lastRenderedPageBreak/>
        <w:t xml:space="preserve">statements of the companies </w:t>
      </w:r>
      <w:r w:rsidR="00CA5776">
        <w:rPr>
          <w:rFonts w:asciiTheme="majorBidi" w:hAnsiTheme="majorBidi" w:cstheme="majorBidi"/>
        </w:rPr>
        <w:t xml:space="preserve">that </w:t>
      </w:r>
      <w:r w:rsidRPr="00126423">
        <w:rPr>
          <w:rFonts w:asciiTheme="majorBidi" w:hAnsiTheme="majorBidi" w:cstheme="majorBidi"/>
        </w:rPr>
        <w:t xml:space="preserve">use IFRS are more harmonized compared with those that adopt other financial reporting frameworks. </w:t>
      </w:r>
      <w:r w:rsidR="007523AC">
        <w:rPr>
          <w:rFonts w:asciiTheme="majorBidi" w:hAnsiTheme="majorBidi" w:cstheme="majorBidi"/>
        </w:rPr>
        <w:t xml:space="preserve">In the light of the aforementioned measures, this research adopts that </w:t>
      </w:r>
      <w:r w:rsidR="007523AC" w:rsidRPr="00126423">
        <w:rPr>
          <w:rFonts w:asciiTheme="majorBidi" w:hAnsiTheme="majorBidi" w:cstheme="majorBidi"/>
          <w:noProof/>
        </w:rPr>
        <w:t>Van der Tas L (1988)</w:t>
      </w:r>
      <w:r w:rsidR="007523AC" w:rsidRPr="00126423">
        <w:rPr>
          <w:rFonts w:asciiTheme="majorBidi" w:hAnsiTheme="majorBidi" w:cstheme="majorBidi"/>
        </w:rPr>
        <w:t xml:space="preserve"> indexes</w:t>
      </w:r>
      <w:r w:rsidR="007523AC">
        <w:rPr>
          <w:rFonts w:asciiTheme="majorBidi" w:hAnsiTheme="majorBidi" w:cstheme="majorBidi"/>
        </w:rPr>
        <w:t xml:space="preserve"> to estimate the h</w:t>
      </w:r>
      <w:r w:rsidRPr="00126423">
        <w:rPr>
          <w:rFonts w:asciiTheme="majorBidi" w:hAnsiTheme="majorBidi" w:cstheme="majorBidi"/>
        </w:rPr>
        <w:t xml:space="preserve">armonization degree between companies in the same country, between the selected countries and between different accounting standers adopters. </w:t>
      </w:r>
    </w:p>
    <w:p w14:paraId="7B92FBBA" w14:textId="77777777" w:rsidR="002F7BC7" w:rsidRDefault="009A13BB" w:rsidP="009A13BB">
      <w:pPr>
        <w:bidi w:val="0"/>
        <w:spacing w:line="360" w:lineRule="auto"/>
        <w:jc w:val="both"/>
        <w:rPr>
          <w:rFonts w:asciiTheme="majorBidi" w:hAnsiTheme="majorBidi" w:cstheme="majorBidi"/>
        </w:rPr>
      </w:pPr>
      <w:r w:rsidRPr="00126423">
        <w:rPr>
          <w:rFonts w:asciiTheme="majorBidi" w:hAnsiTheme="majorBidi" w:cstheme="majorBidi"/>
        </w:rPr>
        <w:t xml:space="preserve">The study provides evidence on the comparability of IFRS-based financial statements from a region that always has been neglected from the harmonization literature. The majority of harmonization related extant literature focuses mainly on the developed countries. The study estimates the harmonization degree of accounting measures between selected Middle Eastern Arab countries and within each of them. In general, the Arab countries has similar features such as the common culture, however several differences, such as economic development and political stability, between them exist. The study highlights the benefits of accounting harmonization in the light of regulations adopted in the Arab World. </w:t>
      </w:r>
    </w:p>
    <w:p w14:paraId="5BBDE13A" w14:textId="401034DF" w:rsidR="009A13BB" w:rsidRPr="00126423" w:rsidRDefault="002F7BC7" w:rsidP="002F7BC7">
      <w:pPr>
        <w:bidi w:val="0"/>
        <w:spacing w:line="360" w:lineRule="auto"/>
        <w:jc w:val="both"/>
        <w:rPr>
          <w:rFonts w:asciiTheme="majorBidi" w:hAnsiTheme="majorBidi" w:cstheme="majorBidi"/>
        </w:rPr>
      </w:pPr>
      <w:r>
        <w:rPr>
          <w:rFonts w:asciiTheme="majorBidi" w:hAnsiTheme="majorBidi" w:cstheme="majorBidi"/>
        </w:rPr>
        <w:t>Moreover, b</w:t>
      </w:r>
      <w:r w:rsidR="009A13BB" w:rsidRPr="00126423">
        <w:rPr>
          <w:rFonts w:asciiTheme="majorBidi" w:hAnsiTheme="majorBidi" w:cstheme="majorBidi"/>
        </w:rPr>
        <w:t xml:space="preserve">eside understanding the extent of accounting harmonization in, and between, these countries, the study uncovers the practices already used and the practices that regulators need to reevaluate to maintain comparable financial statements. Consequently, the confidence of users of accounting information in the financial statements will be attained </w:t>
      </w:r>
      <w:r w:rsidR="007904B3">
        <w:rPr>
          <w:rFonts w:asciiTheme="majorBidi" w:hAnsiTheme="majorBidi" w:cstheme="majorBidi"/>
        </w:rPr>
        <w:t>which is one of</w:t>
      </w:r>
      <w:r w:rsidR="009A13BB" w:rsidRPr="00126423">
        <w:rPr>
          <w:rFonts w:asciiTheme="majorBidi" w:hAnsiTheme="majorBidi" w:cstheme="majorBidi"/>
        </w:rPr>
        <w:t xml:space="preserve"> IFRS adoption benefits.  Based on evidence from Arab countries, the study shows whether countries that have similar circumstances have similar financial reporting practices, and whether the IFRS adoption produces comparable financial statements. Thus, the success of the international harmonization efforts is evaluated. </w:t>
      </w:r>
    </w:p>
    <w:p w14:paraId="1E765613" w14:textId="77777777" w:rsidR="009A13BB" w:rsidRPr="00126423" w:rsidRDefault="009A13BB" w:rsidP="009A13BB">
      <w:pPr>
        <w:bidi w:val="0"/>
        <w:spacing w:line="360" w:lineRule="auto"/>
        <w:jc w:val="both"/>
        <w:rPr>
          <w:rFonts w:asciiTheme="majorBidi" w:hAnsiTheme="majorBidi" w:cstheme="majorBidi"/>
          <w:b/>
          <w:bCs/>
        </w:rPr>
      </w:pPr>
      <w:r w:rsidRPr="00126423">
        <w:rPr>
          <w:rFonts w:asciiTheme="majorBidi" w:hAnsiTheme="majorBidi" w:cstheme="majorBidi"/>
          <w:b/>
          <w:bCs/>
        </w:rPr>
        <w:t>Background, literature review and research questions</w:t>
      </w:r>
    </w:p>
    <w:p w14:paraId="723BA60A" w14:textId="0411EE41" w:rsidR="008B3EAC" w:rsidRDefault="009A13BB" w:rsidP="008B3EAC">
      <w:pPr>
        <w:bidi w:val="0"/>
        <w:spacing w:after="240" w:line="360" w:lineRule="auto"/>
        <w:jc w:val="both"/>
        <w:rPr>
          <w:rFonts w:asciiTheme="majorBidi" w:hAnsiTheme="majorBidi" w:cstheme="majorBidi"/>
        </w:rPr>
      </w:pPr>
      <w:r w:rsidRPr="00126423">
        <w:rPr>
          <w:rFonts w:asciiTheme="majorBidi" w:hAnsiTheme="majorBidi" w:cstheme="majorBidi"/>
        </w:rPr>
        <w:t xml:space="preserve">Several previous studies have addressed the harmonization extent between companies whether in the same country or from different countries. </w:t>
      </w:r>
      <w:r w:rsidR="008B3EAC">
        <w:rPr>
          <w:rFonts w:asciiTheme="majorBidi" w:hAnsiTheme="majorBidi" w:cstheme="majorBidi"/>
        </w:rPr>
        <w:t xml:space="preserve">In that, </w:t>
      </w:r>
      <w:proofErr w:type="spellStart"/>
      <w:r w:rsidR="008B3EAC" w:rsidRPr="004C7774">
        <w:rPr>
          <w:rFonts w:asciiTheme="majorBidi" w:hAnsiTheme="majorBidi" w:cstheme="majorBidi"/>
        </w:rPr>
        <w:t>Muhabbat</w:t>
      </w:r>
      <w:proofErr w:type="spellEnd"/>
      <w:r w:rsidR="008B3EAC">
        <w:rPr>
          <w:rFonts w:asciiTheme="majorBidi" w:hAnsiTheme="majorBidi" w:cstheme="majorBidi"/>
        </w:rPr>
        <w:t xml:space="preserve"> and </w:t>
      </w:r>
      <w:proofErr w:type="spellStart"/>
      <w:r w:rsidR="008B3EAC" w:rsidRPr="00CE776C">
        <w:rPr>
          <w:rFonts w:asciiTheme="majorBidi" w:hAnsiTheme="majorBidi" w:cstheme="majorBidi"/>
        </w:rPr>
        <w:t>Jakhongir</w:t>
      </w:r>
      <w:proofErr w:type="spellEnd"/>
      <w:r w:rsidR="008B3EAC">
        <w:rPr>
          <w:rFonts w:asciiTheme="majorBidi" w:hAnsiTheme="majorBidi" w:cstheme="majorBidi"/>
        </w:rPr>
        <w:t xml:space="preserve"> (2023) indicated that </w:t>
      </w:r>
      <w:r w:rsidR="008B3EAC" w:rsidRPr="00CE776C">
        <w:rPr>
          <w:rFonts w:asciiTheme="majorBidi" w:hAnsiTheme="majorBidi" w:cstheme="majorBidi"/>
        </w:rPr>
        <w:t>there's a rising demand for consistent standards that can evaluate economic indicators across various countries</w:t>
      </w:r>
      <w:r w:rsidR="008B3EAC">
        <w:rPr>
          <w:rFonts w:asciiTheme="majorBidi" w:hAnsiTheme="majorBidi" w:cstheme="majorBidi"/>
        </w:rPr>
        <w:t>.</w:t>
      </w:r>
    </w:p>
    <w:p w14:paraId="3CD0CEE0" w14:textId="1666D49A" w:rsidR="009A13BB" w:rsidRPr="00126423" w:rsidRDefault="009A13BB" w:rsidP="008B3EAC">
      <w:pPr>
        <w:bidi w:val="0"/>
        <w:spacing w:line="360" w:lineRule="auto"/>
        <w:jc w:val="both"/>
        <w:rPr>
          <w:rFonts w:asciiTheme="majorBidi" w:hAnsiTheme="majorBidi" w:cstheme="majorBidi"/>
        </w:rPr>
      </w:pPr>
      <w:r w:rsidRPr="00126423">
        <w:rPr>
          <w:rFonts w:asciiTheme="majorBidi" w:hAnsiTheme="majorBidi" w:cstheme="majorBidi"/>
        </w:rPr>
        <w:t xml:space="preserve">An early study by </w:t>
      </w:r>
      <w:r w:rsidRPr="00126423">
        <w:rPr>
          <w:rFonts w:asciiTheme="majorBidi" w:hAnsiTheme="majorBidi" w:cstheme="majorBidi"/>
          <w:noProof/>
        </w:rPr>
        <w:t>Evans &amp; Taylor (1982)</w:t>
      </w:r>
      <w:r w:rsidRPr="00126423">
        <w:rPr>
          <w:rFonts w:asciiTheme="majorBidi" w:hAnsiTheme="majorBidi" w:cstheme="majorBidi"/>
        </w:rPr>
        <w:t xml:space="preserve"> found that the international accounting standards had a slight influence on accounting harmonization between companies from France, Japan, the U.K., the U.S, and Germany. Consistent results were reported by </w:t>
      </w:r>
      <w:r w:rsidRPr="00126423">
        <w:rPr>
          <w:rFonts w:asciiTheme="majorBidi" w:hAnsiTheme="majorBidi" w:cstheme="majorBidi"/>
          <w:noProof/>
        </w:rPr>
        <w:t>Emenyonu and Gray (1992)</w:t>
      </w:r>
      <w:r w:rsidRPr="00126423">
        <w:rPr>
          <w:rFonts w:asciiTheme="majorBidi" w:hAnsiTheme="majorBidi" w:cstheme="majorBidi"/>
        </w:rPr>
        <w:t xml:space="preserve"> in France, Germany, and the UK. </w:t>
      </w:r>
    </w:p>
    <w:p w14:paraId="319D3527" w14:textId="40C087B1" w:rsidR="009A13BB" w:rsidRPr="00126423" w:rsidRDefault="009A13BB" w:rsidP="009A13BB">
      <w:pPr>
        <w:bidi w:val="0"/>
        <w:spacing w:line="360" w:lineRule="auto"/>
        <w:jc w:val="both"/>
        <w:rPr>
          <w:rFonts w:asciiTheme="majorBidi" w:hAnsiTheme="majorBidi" w:cstheme="majorBidi"/>
        </w:rPr>
      </w:pPr>
      <w:r w:rsidRPr="00126423">
        <w:rPr>
          <w:rFonts w:asciiTheme="majorBidi" w:hAnsiTheme="majorBidi" w:cstheme="majorBidi"/>
        </w:rPr>
        <w:t xml:space="preserve">By focusing on companies from Singapore, Malaysia, Indonesia, Thailand, and Philippines, </w:t>
      </w:r>
      <w:r w:rsidRPr="00126423">
        <w:rPr>
          <w:rFonts w:asciiTheme="majorBidi" w:hAnsiTheme="majorBidi" w:cstheme="majorBidi"/>
          <w:noProof/>
        </w:rPr>
        <w:t xml:space="preserve">Chairas &amp; Radianto (2001) </w:t>
      </w:r>
      <w:r w:rsidRPr="00126423">
        <w:rPr>
          <w:rFonts w:asciiTheme="majorBidi" w:hAnsiTheme="majorBidi" w:cstheme="majorBidi"/>
        </w:rPr>
        <w:t xml:space="preserve">indicated that most companies use similar valuation method. Sportingly, </w:t>
      </w:r>
      <w:r w:rsidRPr="00126423">
        <w:rPr>
          <w:rFonts w:asciiTheme="majorBidi" w:hAnsiTheme="majorBidi" w:cstheme="majorBidi"/>
          <w:noProof/>
        </w:rPr>
        <w:t>Barth, Landsman, Lang &amp; Williams (2012)</w:t>
      </w:r>
      <w:r w:rsidRPr="00126423">
        <w:rPr>
          <w:rFonts w:asciiTheme="majorBidi" w:hAnsiTheme="majorBidi" w:cstheme="majorBidi"/>
        </w:rPr>
        <w:t xml:space="preserve"> observed strong comparability between </w:t>
      </w:r>
      <w:r w:rsidRPr="00126423">
        <w:rPr>
          <w:rFonts w:asciiTheme="majorBidi" w:hAnsiTheme="majorBidi" w:cstheme="majorBidi"/>
        </w:rPr>
        <w:lastRenderedPageBreak/>
        <w:t>financial statements of companies that adopt IFRS and those that adopt US GAAP as</w:t>
      </w:r>
      <w:r w:rsidR="007B0626">
        <w:rPr>
          <w:rFonts w:asciiTheme="majorBidi" w:hAnsiTheme="majorBidi" w:cstheme="majorBidi"/>
        </w:rPr>
        <w:t xml:space="preserve"> </w:t>
      </w:r>
      <w:r w:rsidRPr="00126423">
        <w:rPr>
          <w:rFonts w:asciiTheme="majorBidi" w:hAnsiTheme="majorBidi" w:cstheme="majorBidi"/>
        </w:rPr>
        <w:t xml:space="preserve">a result of ongoing convergence between U.S GAAP and IFRS. </w:t>
      </w:r>
      <w:r w:rsidRPr="00126423">
        <w:rPr>
          <w:rFonts w:asciiTheme="majorBidi" w:hAnsiTheme="majorBidi" w:cstheme="majorBidi"/>
          <w:noProof/>
        </w:rPr>
        <w:t xml:space="preserve">Aisbitt (2001) also </w:t>
      </w:r>
      <w:r w:rsidRPr="00126423">
        <w:rPr>
          <w:rFonts w:asciiTheme="majorBidi" w:hAnsiTheme="majorBidi" w:cstheme="majorBidi"/>
        </w:rPr>
        <w:t xml:space="preserve">reported an increase in the harmonization level for the Nordic countries. The same results were noticed by </w:t>
      </w:r>
      <w:r w:rsidRPr="00126423">
        <w:rPr>
          <w:rFonts w:asciiTheme="majorBidi" w:hAnsiTheme="majorBidi" w:cstheme="majorBidi"/>
          <w:noProof/>
        </w:rPr>
        <w:t>Morais (2008)</w:t>
      </w:r>
      <w:r w:rsidRPr="00126423">
        <w:rPr>
          <w:rFonts w:asciiTheme="majorBidi" w:hAnsiTheme="majorBidi" w:cstheme="majorBidi"/>
        </w:rPr>
        <w:t xml:space="preserve"> in France, Germany, Italy, Portugal and the UK. </w:t>
      </w:r>
      <w:r w:rsidRPr="00126423">
        <w:rPr>
          <w:rFonts w:asciiTheme="majorBidi" w:hAnsiTheme="majorBidi" w:cstheme="majorBidi"/>
          <w:noProof/>
        </w:rPr>
        <w:t>Rahman, Perera &amp; Ganeshanandam (1996)</w:t>
      </w:r>
      <w:r w:rsidRPr="00126423">
        <w:rPr>
          <w:rFonts w:asciiTheme="majorBidi" w:hAnsiTheme="majorBidi" w:cstheme="majorBidi"/>
        </w:rPr>
        <w:t xml:space="preserve"> showed a high level of harmonization for measurement requirements in Australia and New Zealand. Also, </w:t>
      </w:r>
      <w:r w:rsidRPr="00126423">
        <w:rPr>
          <w:rFonts w:asciiTheme="majorBidi" w:hAnsiTheme="majorBidi" w:cstheme="majorBidi"/>
          <w:noProof/>
        </w:rPr>
        <w:t>Fontes, Rodrigues &amp; Craig (2005)</w:t>
      </w:r>
      <w:r w:rsidRPr="00126423">
        <w:rPr>
          <w:rFonts w:asciiTheme="majorBidi" w:hAnsiTheme="majorBidi" w:cstheme="majorBidi"/>
        </w:rPr>
        <w:t xml:space="preserve"> provided further evidence of the progress achieved in converging of IFRS and Portuguese accounting standards. </w:t>
      </w:r>
    </w:p>
    <w:p w14:paraId="5D37A979" w14:textId="44F44D94" w:rsidR="005E724B" w:rsidRPr="00126423" w:rsidRDefault="00152975" w:rsidP="005E724B">
      <w:pPr>
        <w:bidi w:val="0"/>
        <w:spacing w:after="240" w:line="360" w:lineRule="auto"/>
        <w:jc w:val="both"/>
        <w:rPr>
          <w:rFonts w:asciiTheme="majorBidi" w:hAnsiTheme="majorBidi" w:cstheme="majorBidi"/>
        </w:rPr>
      </w:pPr>
      <w:r>
        <w:rPr>
          <w:rFonts w:asciiTheme="majorBidi" w:hAnsiTheme="majorBidi" w:cstheme="majorBidi"/>
        </w:rPr>
        <w:t xml:space="preserve">On the other hand, </w:t>
      </w:r>
      <w:r w:rsidR="009A13BB" w:rsidRPr="00126423">
        <w:rPr>
          <w:rFonts w:asciiTheme="majorBidi" w:hAnsiTheme="majorBidi" w:cstheme="majorBidi"/>
        </w:rPr>
        <w:t>Herrmann and Thomas (1995) reported mixed results indicating higher harmonization for some accounting treatments, while lower harmonization was lower for other treatments.</w:t>
      </w:r>
      <w:r w:rsidR="005E724B">
        <w:rPr>
          <w:rFonts w:asciiTheme="majorBidi" w:hAnsiTheme="majorBidi" w:cstheme="majorBidi"/>
        </w:rPr>
        <w:t xml:space="preserve"> Moreover, while </w:t>
      </w:r>
      <w:r w:rsidR="005E724B" w:rsidRPr="00126423">
        <w:rPr>
          <w:rFonts w:asciiTheme="majorBidi" w:hAnsiTheme="majorBidi" w:cstheme="majorBidi"/>
          <w:noProof/>
        </w:rPr>
        <w:t xml:space="preserve">Diga (1996) </w:t>
      </w:r>
      <w:r w:rsidR="005E724B" w:rsidRPr="00126423">
        <w:rPr>
          <w:rFonts w:asciiTheme="majorBidi" w:hAnsiTheme="majorBidi" w:cstheme="majorBidi"/>
        </w:rPr>
        <w:t>found high degree of measurement harmonization in Asian countries</w:t>
      </w:r>
      <w:r w:rsidR="005E724B">
        <w:rPr>
          <w:rFonts w:asciiTheme="majorBidi" w:hAnsiTheme="majorBidi" w:cstheme="majorBidi"/>
        </w:rPr>
        <w:t>,</w:t>
      </w:r>
      <w:r w:rsidR="005E724B" w:rsidRPr="00126423">
        <w:rPr>
          <w:rFonts w:asciiTheme="majorBidi" w:hAnsiTheme="majorBidi" w:cstheme="majorBidi"/>
          <w:noProof/>
        </w:rPr>
        <w:t xml:space="preserve"> Azim (2007) </w:t>
      </w:r>
      <w:r w:rsidR="005E724B" w:rsidRPr="00126423">
        <w:rPr>
          <w:rFonts w:asciiTheme="majorBidi" w:hAnsiTheme="majorBidi" w:cstheme="majorBidi"/>
        </w:rPr>
        <w:t xml:space="preserve">showed a high harmonization between companies from Egypt and UAE. </w:t>
      </w:r>
    </w:p>
    <w:p w14:paraId="6A890907" w14:textId="2B0AAD47" w:rsidR="009A13BB" w:rsidRPr="00126423" w:rsidRDefault="009A13BB" w:rsidP="009A13BB">
      <w:pPr>
        <w:bidi w:val="0"/>
        <w:spacing w:after="240" w:line="360" w:lineRule="auto"/>
        <w:jc w:val="both"/>
        <w:rPr>
          <w:rFonts w:asciiTheme="majorBidi" w:hAnsiTheme="majorBidi" w:cstheme="majorBidi"/>
        </w:rPr>
      </w:pPr>
      <w:r w:rsidRPr="00126423">
        <w:rPr>
          <w:rFonts w:asciiTheme="majorBidi" w:hAnsiTheme="majorBidi" w:cstheme="majorBidi"/>
          <w:noProof/>
        </w:rPr>
        <w:t xml:space="preserve">Following the adoption of IFRS, Catuogno (2011) </w:t>
      </w:r>
      <w:r w:rsidRPr="00126423">
        <w:rPr>
          <w:rFonts w:asciiTheme="majorBidi" w:hAnsiTheme="majorBidi" w:cstheme="majorBidi"/>
        </w:rPr>
        <w:t xml:space="preserve">noticed an increased in harmonization Italia and Spain. Similarly, </w:t>
      </w:r>
      <w:r w:rsidRPr="00126423">
        <w:rPr>
          <w:rFonts w:asciiTheme="majorBidi" w:hAnsiTheme="majorBidi" w:cstheme="majorBidi"/>
          <w:noProof/>
        </w:rPr>
        <w:t>Miˇsur´akov´(2015)</w:t>
      </w:r>
      <w:r w:rsidRPr="00126423">
        <w:rPr>
          <w:rFonts w:asciiTheme="majorBidi" w:hAnsiTheme="majorBidi" w:cstheme="majorBidi"/>
        </w:rPr>
        <w:t xml:space="preserve"> findings indicated more accounting harmonization as a result of IFRS adoption. </w:t>
      </w:r>
      <w:r w:rsidRPr="00126423">
        <w:rPr>
          <w:rFonts w:asciiTheme="majorBidi" w:hAnsiTheme="majorBidi" w:cstheme="majorBidi"/>
          <w:noProof/>
        </w:rPr>
        <w:t xml:space="preserve">Consistently, Ahmed &amp; Ali (2015) </w:t>
      </w:r>
      <w:r w:rsidRPr="00126423">
        <w:rPr>
          <w:rFonts w:asciiTheme="majorBidi" w:hAnsiTheme="majorBidi" w:cstheme="majorBidi"/>
        </w:rPr>
        <w:t>reported that the degree of measurement harmonization of Asian companies has significantly enhanced in the era of IFRS.</w:t>
      </w:r>
    </w:p>
    <w:p w14:paraId="3F015AF1" w14:textId="3F63974E" w:rsidR="005E724B" w:rsidRDefault="005E724B" w:rsidP="00B82946">
      <w:pPr>
        <w:bidi w:val="0"/>
        <w:spacing w:after="240" w:line="360" w:lineRule="auto"/>
        <w:jc w:val="both"/>
        <w:rPr>
          <w:rFonts w:asciiTheme="majorBidi" w:hAnsiTheme="majorBidi" w:cstheme="majorBidi"/>
        </w:rPr>
      </w:pPr>
      <w:r>
        <w:rPr>
          <w:rFonts w:asciiTheme="majorBidi" w:hAnsiTheme="majorBidi" w:cstheme="majorBidi"/>
        </w:rPr>
        <w:t xml:space="preserve">In a more recent study, </w:t>
      </w:r>
      <w:proofErr w:type="spellStart"/>
      <w:r w:rsidR="0035737E" w:rsidRPr="0035737E">
        <w:rPr>
          <w:rFonts w:asciiTheme="majorBidi" w:hAnsiTheme="majorBidi" w:cstheme="majorBidi"/>
        </w:rPr>
        <w:t>Frintrup</w:t>
      </w:r>
      <w:proofErr w:type="spellEnd"/>
      <w:r w:rsidR="0035737E">
        <w:rPr>
          <w:rFonts w:asciiTheme="majorBidi" w:hAnsiTheme="majorBidi" w:cstheme="majorBidi"/>
        </w:rPr>
        <w:t xml:space="preserve">, </w:t>
      </w:r>
      <w:proofErr w:type="spellStart"/>
      <w:r w:rsidR="0035737E" w:rsidRPr="0035737E">
        <w:rPr>
          <w:rFonts w:asciiTheme="majorBidi" w:hAnsiTheme="majorBidi" w:cstheme="majorBidi"/>
        </w:rPr>
        <w:t>Schmidthuber</w:t>
      </w:r>
      <w:proofErr w:type="spellEnd"/>
      <w:r w:rsidR="0035737E">
        <w:rPr>
          <w:rFonts w:asciiTheme="majorBidi" w:hAnsiTheme="majorBidi" w:cstheme="majorBidi"/>
        </w:rPr>
        <w:t xml:space="preserve"> &amp; </w:t>
      </w:r>
      <w:r w:rsidR="0035737E" w:rsidRPr="0035737E">
        <w:rPr>
          <w:rFonts w:asciiTheme="majorBidi" w:hAnsiTheme="majorBidi" w:cstheme="majorBidi"/>
        </w:rPr>
        <w:t>Hilgers</w:t>
      </w:r>
      <w:r w:rsidR="0035737E">
        <w:rPr>
          <w:rFonts w:asciiTheme="majorBidi" w:hAnsiTheme="majorBidi" w:cstheme="majorBidi"/>
        </w:rPr>
        <w:t xml:space="preserve"> (2022) </w:t>
      </w:r>
      <w:r w:rsidR="00B86F62">
        <w:rPr>
          <w:rFonts w:asciiTheme="majorBidi" w:hAnsiTheme="majorBidi" w:cstheme="majorBidi"/>
        </w:rPr>
        <w:t>investigated the degree o</w:t>
      </w:r>
      <w:r w:rsidR="00A33958">
        <w:rPr>
          <w:rFonts w:asciiTheme="majorBidi" w:hAnsiTheme="majorBidi" w:cstheme="majorBidi"/>
        </w:rPr>
        <w:t xml:space="preserve">f </w:t>
      </w:r>
      <w:r w:rsidR="00A33958" w:rsidRPr="00A33958">
        <w:rPr>
          <w:rFonts w:asciiTheme="majorBidi" w:hAnsiTheme="majorBidi" w:cstheme="majorBidi"/>
        </w:rPr>
        <w:t>European accounting</w:t>
      </w:r>
      <w:r w:rsidR="00A33958">
        <w:rPr>
          <w:rFonts w:asciiTheme="majorBidi" w:hAnsiTheme="majorBidi" w:cstheme="majorBidi"/>
        </w:rPr>
        <w:t xml:space="preserve"> harmonization by targeting </w:t>
      </w:r>
      <w:r w:rsidR="006C62C3">
        <w:rPr>
          <w:rFonts w:asciiTheme="majorBidi" w:hAnsiTheme="majorBidi" w:cstheme="majorBidi"/>
        </w:rPr>
        <w:t xml:space="preserve">the perception of </w:t>
      </w:r>
      <w:r w:rsidR="006C62C3" w:rsidRPr="006C62C3">
        <w:rPr>
          <w:rFonts w:asciiTheme="majorBidi" w:hAnsiTheme="majorBidi" w:cstheme="majorBidi"/>
        </w:rPr>
        <w:t>budget experts</w:t>
      </w:r>
      <w:r w:rsidR="006C62C3">
        <w:rPr>
          <w:rFonts w:asciiTheme="majorBidi" w:hAnsiTheme="majorBidi" w:cstheme="majorBidi"/>
        </w:rPr>
        <w:t xml:space="preserve">. The study revealed that </w:t>
      </w:r>
      <w:r w:rsidR="007E3CFF">
        <w:rPr>
          <w:rFonts w:asciiTheme="majorBidi" w:hAnsiTheme="majorBidi" w:cstheme="majorBidi"/>
        </w:rPr>
        <w:t xml:space="preserve">a variance in accounting harmonization levels among European countries and indicated that </w:t>
      </w:r>
      <w:r w:rsidR="00B82946" w:rsidRPr="00B82946">
        <w:rPr>
          <w:rFonts w:asciiTheme="majorBidi" w:hAnsiTheme="majorBidi" w:cstheme="majorBidi"/>
        </w:rPr>
        <w:t>country context seems to matter in terms of the</w:t>
      </w:r>
      <w:r w:rsidR="00B82946">
        <w:rPr>
          <w:rFonts w:asciiTheme="majorBidi" w:hAnsiTheme="majorBidi" w:cstheme="majorBidi"/>
        </w:rPr>
        <w:t xml:space="preserve"> accounting harmonization. </w:t>
      </w:r>
    </w:p>
    <w:p w14:paraId="09E7A4FD" w14:textId="52D7E1E1" w:rsidR="009A13BB" w:rsidRPr="00126423" w:rsidRDefault="009A13BB" w:rsidP="005E724B">
      <w:pPr>
        <w:bidi w:val="0"/>
        <w:spacing w:after="240" w:line="360" w:lineRule="auto"/>
        <w:jc w:val="both"/>
        <w:rPr>
          <w:rFonts w:asciiTheme="majorBidi" w:hAnsiTheme="majorBidi" w:cstheme="majorBidi"/>
        </w:rPr>
      </w:pPr>
      <w:r w:rsidRPr="00126423">
        <w:rPr>
          <w:rFonts w:asciiTheme="majorBidi" w:hAnsiTheme="majorBidi" w:cstheme="majorBidi"/>
        </w:rPr>
        <w:t>However, most of the above presented literature proved that differences in some accounting measurements exist, even under the adoption of IFRS (</w:t>
      </w:r>
      <w:proofErr w:type="spellStart"/>
      <w:r w:rsidRPr="00126423">
        <w:rPr>
          <w:rFonts w:asciiTheme="majorBidi" w:hAnsiTheme="majorBidi" w:cstheme="majorBidi"/>
        </w:rPr>
        <w:t>Halbouni</w:t>
      </w:r>
      <w:proofErr w:type="spellEnd"/>
      <w:r w:rsidRPr="00126423">
        <w:rPr>
          <w:rFonts w:asciiTheme="majorBidi" w:hAnsiTheme="majorBidi" w:cstheme="majorBidi"/>
        </w:rPr>
        <w:t xml:space="preserve">, 2006; Diga, 1996; Herrmann &amp;Thomas, 1995; Ahmed &amp; Ali, 2015; Ali, Ahmed, &amp; Henry, 2006; Rajhi, 2014). </w:t>
      </w:r>
    </w:p>
    <w:p w14:paraId="16B13DC0" w14:textId="77777777" w:rsidR="009A13BB" w:rsidRPr="00126423" w:rsidRDefault="009A13BB" w:rsidP="009A13BB">
      <w:pPr>
        <w:bidi w:val="0"/>
        <w:spacing w:after="240" w:line="360" w:lineRule="auto"/>
        <w:jc w:val="both"/>
        <w:rPr>
          <w:rFonts w:asciiTheme="majorBidi" w:hAnsiTheme="majorBidi" w:cstheme="majorBidi"/>
        </w:rPr>
      </w:pPr>
      <w:r w:rsidRPr="00126423">
        <w:rPr>
          <w:rFonts w:asciiTheme="majorBidi" w:hAnsiTheme="majorBidi" w:cstheme="majorBidi"/>
        </w:rPr>
        <w:t xml:space="preserve">Considering the above discussion, the following Research Questions (RQs) were developed: </w:t>
      </w:r>
    </w:p>
    <w:p w14:paraId="289ABF4D" w14:textId="77777777" w:rsidR="009A13BB" w:rsidRPr="00126423" w:rsidRDefault="009A13BB" w:rsidP="009A13BB">
      <w:pPr>
        <w:bidi w:val="0"/>
        <w:spacing w:after="240" w:line="360" w:lineRule="auto"/>
        <w:jc w:val="both"/>
        <w:rPr>
          <w:rFonts w:asciiTheme="majorBidi" w:hAnsiTheme="majorBidi" w:cstheme="majorBidi"/>
        </w:rPr>
      </w:pPr>
      <w:r w:rsidRPr="00126423">
        <w:rPr>
          <w:rFonts w:asciiTheme="majorBidi" w:hAnsiTheme="majorBidi" w:cstheme="majorBidi"/>
          <w:b/>
          <w:bCs/>
        </w:rPr>
        <w:t>RQ</w:t>
      </w:r>
      <w:r w:rsidRPr="00A7488C">
        <w:rPr>
          <w:rFonts w:asciiTheme="majorBidi" w:hAnsiTheme="majorBidi" w:cstheme="majorBidi"/>
          <w:b/>
          <w:bCs/>
          <w:vertAlign w:val="subscript"/>
        </w:rPr>
        <w:t>1</w:t>
      </w:r>
      <w:r w:rsidRPr="00126423">
        <w:rPr>
          <w:rFonts w:asciiTheme="majorBidi" w:hAnsiTheme="majorBidi" w:cstheme="majorBidi"/>
          <w:b/>
          <w:bCs/>
        </w:rPr>
        <w:t xml:space="preserve">: </w:t>
      </w:r>
      <w:r w:rsidRPr="00126423">
        <w:rPr>
          <w:rFonts w:asciiTheme="majorBidi" w:hAnsiTheme="majorBidi" w:cstheme="majorBidi"/>
        </w:rPr>
        <w:t>To what extent do accounting measurements vary among industrial listed companies in the Arab Middle Eastern countries?</w:t>
      </w:r>
    </w:p>
    <w:p w14:paraId="53A9AA90" w14:textId="77777777" w:rsidR="009A13BB" w:rsidRPr="00126423" w:rsidRDefault="009A13BB" w:rsidP="009A13BB">
      <w:pPr>
        <w:bidi w:val="0"/>
        <w:spacing w:line="360" w:lineRule="auto"/>
        <w:jc w:val="both"/>
        <w:rPr>
          <w:rFonts w:asciiTheme="majorBidi" w:hAnsiTheme="majorBidi" w:cstheme="majorBidi"/>
        </w:rPr>
      </w:pPr>
      <w:r w:rsidRPr="00126423">
        <w:rPr>
          <w:rFonts w:asciiTheme="majorBidi" w:hAnsiTheme="majorBidi" w:cstheme="majorBidi"/>
          <w:b/>
          <w:bCs/>
        </w:rPr>
        <w:t>RQ</w:t>
      </w:r>
      <w:r w:rsidRPr="00A7488C">
        <w:rPr>
          <w:rFonts w:asciiTheme="majorBidi" w:hAnsiTheme="majorBidi" w:cstheme="majorBidi"/>
          <w:b/>
          <w:bCs/>
          <w:vertAlign w:val="subscript"/>
        </w:rPr>
        <w:t>2</w:t>
      </w:r>
      <w:r w:rsidRPr="00126423">
        <w:rPr>
          <w:rFonts w:asciiTheme="majorBidi" w:hAnsiTheme="majorBidi" w:cstheme="majorBidi"/>
          <w:b/>
          <w:bCs/>
        </w:rPr>
        <w:t>:</w:t>
      </w:r>
      <w:r w:rsidRPr="00126423">
        <w:rPr>
          <w:rFonts w:asciiTheme="majorBidi" w:hAnsiTheme="majorBidi" w:cstheme="majorBidi"/>
        </w:rPr>
        <w:t xml:space="preserve"> How do accounting measurements differ within individual Arab Middle Eastern countries?</w:t>
      </w:r>
    </w:p>
    <w:p w14:paraId="2F013BFE" w14:textId="77777777" w:rsidR="009A13BB" w:rsidRPr="00126423" w:rsidRDefault="009A13BB" w:rsidP="009A13BB">
      <w:pPr>
        <w:bidi w:val="0"/>
        <w:spacing w:line="360" w:lineRule="auto"/>
        <w:jc w:val="both"/>
        <w:rPr>
          <w:rFonts w:asciiTheme="majorBidi" w:hAnsiTheme="majorBidi" w:cstheme="majorBidi"/>
        </w:rPr>
      </w:pPr>
      <w:r w:rsidRPr="00126423">
        <w:rPr>
          <w:rFonts w:asciiTheme="majorBidi" w:hAnsiTheme="majorBidi" w:cstheme="majorBidi"/>
          <w:b/>
          <w:bCs/>
        </w:rPr>
        <w:t>RQ</w:t>
      </w:r>
      <w:r w:rsidRPr="00A7488C">
        <w:rPr>
          <w:rFonts w:asciiTheme="majorBidi" w:hAnsiTheme="majorBidi" w:cstheme="majorBidi"/>
          <w:b/>
          <w:bCs/>
          <w:vertAlign w:val="subscript"/>
        </w:rPr>
        <w:t>3</w:t>
      </w:r>
      <w:bookmarkStart w:id="2" w:name="_Hlk7820951"/>
      <w:r w:rsidRPr="00126423">
        <w:rPr>
          <w:rFonts w:asciiTheme="majorBidi" w:hAnsiTheme="majorBidi" w:cstheme="majorBidi"/>
          <w:b/>
          <w:bCs/>
        </w:rPr>
        <w:t xml:space="preserve">: </w:t>
      </w:r>
      <w:r w:rsidRPr="00126423">
        <w:rPr>
          <w:rFonts w:asciiTheme="majorBidi" w:hAnsiTheme="majorBidi" w:cstheme="majorBidi"/>
        </w:rPr>
        <w:t>How does the level of accounting harmonization compare between IFRS adopters and local standard adopters in the Arab Middle Eastern countries?</w:t>
      </w:r>
    </w:p>
    <w:bookmarkEnd w:id="2"/>
    <w:p w14:paraId="5D674568" w14:textId="77777777" w:rsidR="009A13BB" w:rsidRPr="00126423" w:rsidRDefault="009A13BB" w:rsidP="009A13BB">
      <w:pPr>
        <w:bidi w:val="0"/>
        <w:spacing w:line="360" w:lineRule="auto"/>
        <w:jc w:val="both"/>
        <w:rPr>
          <w:rFonts w:asciiTheme="majorBidi" w:hAnsiTheme="majorBidi" w:cstheme="majorBidi"/>
          <w:b/>
          <w:bCs/>
        </w:rPr>
      </w:pPr>
      <w:r w:rsidRPr="00126423">
        <w:rPr>
          <w:rFonts w:asciiTheme="majorBidi" w:hAnsiTheme="majorBidi" w:cstheme="majorBidi"/>
          <w:b/>
          <w:bCs/>
        </w:rPr>
        <w:t>Theoretical framework</w:t>
      </w:r>
    </w:p>
    <w:p w14:paraId="5DDE8138" w14:textId="65EAE772" w:rsidR="009A13BB" w:rsidRPr="00126423" w:rsidRDefault="00EC5C2A" w:rsidP="009A13BB">
      <w:pPr>
        <w:pStyle w:val="NormalWeb"/>
        <w:spacing w:line="360" w:lineRule="auto"/>
        <w:jc w:val="both"/>
        <w:rPr>
          <w:rFonts w:asciiTheme="majorBidi" w:hAnsiTheme="majorBidi" w:cstheme="majorBidi"/>
          <w:sz w:val="22"/>
          <w:szCs w:val="22"/>
        </w:rPr>
      </w:pPr>
      <w:r>
        <w:rPr>
          <w:rFonts w:asciiTheme="majorBidi" w:hAnsiTheme="majorBidi" w:cstheme="majorBidi"/>
          <w:sz w:val="22"/>
          <w:szCs w:val="22"/>
        </w:rPr>
        <w:lastRenderedPageBreak/>
        <w:t>The conceptual framework of accounting indicated that the</w:t>
      </w:r>
      <w:r w:rsidR="00704B1D">
        <w:rPr>
          <w:rFonts w:asciiTheme="majorBidi" w:hAnsiTheme="majorBidi" w:cstheme="majorBidi"/>
          <w:sz w:val="22"/>
          <w:szCs w:val="22"/>
        </w:rPr>
        <w:t xml:space="preserve"> general-purpose financial </w:t>
      </w:r>
      <w:r>
        <w:rPr>
          <w:rFonts w:asciiTheme="majorBidi" w:hAnsiTheme="majorBidi" w:cstheme="majorBidi"/>
          <w:sz w:val="22"/>
          <w:szCs w:val="22"/>
        </w:rPr>
        <w:t xml:space="preserve"> </w:t>
      </w:r>
      <w:r w:rsidR="009A13BB" w:rsidRPr="00126423">
        <w:rPr>
          <w:rFonts w:asciiTheme="majorBidi" w:hAnsiTheme="majorBidi" w:cstheme="majorBidi"/>
          <w:sz w:val="22"/>
          <w:szCs w:val="22"/>
        </w:rPr>
        <w:t xml:space="preserve"> </w:t>
      </w:r>
      <w:r w:rsidR="00704B1D">
        <w:rPr>
          <w:rFonts w:asciiTheme="majorBidi" w:hAnsiTheme="majorBidi" w:cstheme="majorBidi"/>
          <w:sz w:val="22"/>
          <w:szCs w:val="22"/>
        </w:rPr>
        <w:t xml:space="preserve">reporting is to provide useful information to the primary users of the financial statements </w:t>
      </w:r>
      <w:r w:rsidR="009A13BB" w:rsidRPr="00126423">
        <w:rPr>
          <w:rFonts w:asciiTheme="majorBidi" w:hAnsiTheme="majorBidi" w:cstheme="majorBidi"/>
          <w:noProof/>
          <w:sz w:val="22"/>
          <w:szCs w:val="22"/>
        </w:rPr>
        <w:t>(</w:t>
      </w:r>
      <w:r w:rsidR="00704B1D">
        <w:rPr>
          <w:rFonts w:asciiTheme="majorBidi" w:hAnsiTheme="majorBidi" w:cstheme="majorBidi"/>
          <w:sz w:val="22"/>
          <w:szCs w:val="22"/>
        </w:rPr>
        <w:t>IASB</w:t>
      </w:r>
      <w:r w:rsidR="009A13BB" w:rsidRPr="00126423">
        <w:rPr>
          <w:rFonts w:asciiTheme="majorBidi" w:hAnsiTheme="majorBidi" w:cstheme="majorBidi"/>
          <w:sz w:val="22"/>
          <w:szCs w:val="22"/>
        </w:rPr>
        <w:t>, 201</w:t>
      </w:r>
      <w:r w:rsidR="00704B1D">
        <w:rPr>
          <w:rFonts w:asciiTheme="majorBidi" w:hAnsiTheme="majorBidi" w:cstheme="majorBidi"/>
          <w:sz w:val="22"/>
          <w:szCs w:val="22"/>
        </w:rPr>
        <w:t>8</w:t>
      </w:r>
      <w:r w:rsidR="009A13BB" w:rsidRPr="00126423">
        <w:rPr>
          <w:rFonts w:asciiTheme="majorBidi" w:hAnsiTheme="majorBidi" w:cstheme="majorBidi"/>
          <w:noProof/>
          <w:sz w:val="22"/>
          <w:szCs w:val="22"/>
        </w:rPr>
        <w:t>)</w:t>
      </w:r>
      <w:r w:rsidR="009A13BB" w:rsidRPr="00126423">
        <w:rPr>
          <w:rFonts w:asciiTheme="majorBidi" w:hAnsiTheme="majorBidi" w:cstheme="majorBidi"/>
          <w:sz w:val="22"/>
          <w:szCs w:val="22"/>
        </w:rPr>
        <w:t>. Therefore, specific qualitative characteristics, including comparability, should be available. Comparability enhances the information quality as it helps users to observe similarities and differences between two sets of economic phenomena and compare alternatives.</w:t>
      </w:r>
      <w:r w:rsidR="00F3655C">
        <w:rPr>
          <w:rFonts w:asciiTheme="majorBidi" w:hAnsiTheme="majorBidi" w:cstheme="majorBidi"/>
          <w:sz w:val="22"/>
          <w:szCs w:val="22"/>
        </w:rPr>
        <w:t xml:space="preserve"> The</w:t>
      </w:r>
      <w:r w:rsidR="009A13BB" w:rsidRPr="00126423">
        <w:rPr>
          <w:rFonts w:asciiTheme="majorBidi" w:hAnsiTheme="majorBidi" w:cstheme="majorBidi"/>
          <w:sz w:val="22"/>
          <w:szCs w:val="22"/>
        </w:rPr>
        <w:t xml:space="preserve"> </w:t>
      </w:r>
      <w:r w:rsidR="00F3655C">
        <w:rPr>
          <w:rFonts w:asciiTheme="majorBidi" w:hAnsiTheme="majorBidi" w:cstheme="majorBidi"/>
          <w:sz w:val="22"/>
          <w:szCs w:val="22"/>
        </w:rPr>
        <w:t>i</w:t>
      </w:r>
      <w:r w:rsidR="009A13BB" w:rsidRPr="00126423">
        <w:rPr>
          <w:rFonts w:asciiTheme="majorBidi" w:hAnsiTheme="majorBidi" w:cstheme="majorBidi"/>
          <w:sz w:val="22"/>
          <w:szCs w:val="22"/>
        </w:rPr>
        <w:t xml:space="preserve">mportance of comparability has increased following globalization. Comparability is attained when accounting rules are implemented consistently by firms from one period to another and between firms </w:t>
      </w:r>
      <w:r w:rsidR="009A13BB" w:rsidRPr="00126423">
        <w:rPr>
          <w:rFonts w:asciiTheme="majorBidi" w:hAnsiTheme="majorBidi" w:cstheme="majorBidi"/>
          <w:noProof/>
          <w:sz w:val="22"/>
          <w:szCs w:val="22"/>
        </w:rPr>
        <w:t>(Hillman, Kochanek, &amp; Norgaard, 1991; IASB, 20</w:t>
      </w:r>
      <w:r w:rsidR="00385AE3">
        <w:rPr>
          <w:rFonts w:asciiTheme="majorBidi" w:hAnsiTheme="majorBidi" w:cstheme="majorBidi"/>
          <w:noProof/>
          <w:sz w:val="22"/>
          <w:szCs w:val="22"/>
        </w:rPr>
        <w:t>18</w:t>
      </w:r>
      <w:r w:rsidR="009A13BB" w:rsidRPr="00126423">
        <w:rPr>
          <w:rFonts w:asciiTheme="majorBidi" w:hAnsiTheme="majorBidi" w:cstheme="majorBidi"/>
          <w:noProof/>
          <w:sz w:val="22"/>
          <w:szCs w:val="22"/>
        </w:rPr>
        <w:t>)</w:t>
      </w:r>
      <w:r w:rsidR="009A13BB" w:rsidRPr="00126423">
        <w:rPr>
          <w:rFonts w:asciiTheme="majorBidi" w:hAnsiTheme="majorBidi" w:cstheme="majorBidi"/>
          <w:sz w:val="22"/>
          <w:szCs w:val="22"/>
        </w:rPr>
        <w:t>. However, accounting practices may show differences between countries and even between firms of the same country because of the prevailing circumstances and the differences in interpretation and application of the accounting standards</w:t>
      </w:r>
      <w:r w:rsidR="009A13BB" w:rsidRPr="00126423">
        <w:rPr>
          <w:rFonts w:asciiTheme="majorBidi" w:hAnsiTheme="majorBidi" w:cstheme="majorBidi"/>
          <w:noProof/>
          <w:sz w:val="22"/>
          <w:szCs w:val="22"/>
        </w:rPr>
        <w:t xml:space="preserve"> (Chen, sun, &amp; wang, 2002)</w:t>
      </w:r>
      <w:r w:rsidR="009A13BB" w:rsidRPr="00126423">
        <w:rPr>
          <w:rFonts w:asciiTheme="majorBidi" w:hAnsiTheme="majorBidi" w:cstheme="majorBidi"/>
          <w:sz w:val="22"/>
          <w:szCs w:val="22"/>
        </w:rPr>
        <w:t>.</w:t>
      </w:r>
      <w:r w:rsidR="009A13BB" w:rsidRPr="00126423">
        <w:rPr>
          <w:rFonts w:asciiTheme="majorBidi" w:hAnsiTheme="majorBidi" w:cstheme="majorBidi"/>
        </w:rPr>
        <w:t xml:space="preserve"> </w:t>
      </w:r>
    </w:p>
    <w:p w14:paraId="3C102466"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b/>
          <w:bCs/>
        </w:rPr>
      </w:pPr>
    </w:p>
    <w:p w14:paraId="52513BD7" w14:textId="25CCDD5C" w:rsidR="009A13BB" w:rsidRPr="00126423" w:rsidRDefault="009A13BB" w:rsidP="009A13BB">
      <w:pP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 xml:space="preserve">Accounting harmonization, the process by which accounting diversity is reduced, serves the globalization of financial markets as it facilitates comparisons between financial and economic information and improves communication </w:t>
      </w:r>
      <w:r w:rsidRPr="00126423">
        <w:rPr>
          <w:rFonts w:asciiTheme="majorBidi" w:hAnsiTheme="majorBidi" w:cstheme="majorBidi"/>
          <w:noProof/>
        </w:rPr>
        <w:t>(Doni, Taplin, &amp; Verona, 2016)</w:t>
      </w:r>
      <w:r w:rsidRPr="00126423">
        <w:rPr>
          <w:rFonts w:asciiTheme="majorBidi" w:hAnsiTheme="majorBidi" w:cstheme="majorBidi"/>
        </w:rPr>
        <w:t xml:space="preserve">. Cross-border activities of firms highlighted the demand for accounting harmonization in terms of rules and practices </w:t>
      </w:r>
      <w:r w:rsidRPr="00126423">
        <w:rPr>
          <w:rFonts w:asciiTheme="majorBidi" w:hAnsiTheme="majorBidi" w:cstheme="majorBidi"/>
          <w:noProof/>
        </w:rPr>
        <w:t>(Ball, 2016)</w:t>
      </w:r>
      <w:r w:rsidRPr="00126423">
        <w:rPr>
          <w:rFonts w:asciiTheme="majorBidi" w:hAnsiTheme="majorBidi" w:cstheme="majorBidi"/>
        </w:rPr>
        <w:t>. Comparability on international level has become more important following the notable increase in the volume of international trade, the spread of multinational companies, the growth of foreign direct investment, as well as the internationalization of the financial markets (</w:t>
      </w:r>
      <w:proofErr w:type="spellStart"/>
      <w:r w:rsidRPr="00126423">
        <w:rPr>
          <w:rFonts w:asciiTheme="majorBidi" w:eastAsia="Times New Roman" w:hAnsiTheme="majorBidi" w:cstheme="majorBidi"/>
          <w:noProof/>
        </w:rPr>
        <w:t>Basoglu</w:t>
      </w:r>
      <w:proofErr w:type="spellEnd"/>
      <w:r w:rsidRPr="00126423">
        <w:rPr>
          <w:rFonts w:asciiTheme="majorBidi" w:eastAsia="Times New Roman" w:hAnsiTheme="majorBidi" w:cstheme="majorBidi"/>
          <w:noProof/>
        </w:rPr>
        <w:t xml:space="preserve"> &amp; Goma, 2002; </w:t>
      </w:r>
      <w:r w:rsidRPr="00126423">
        <w:rPr>
          <w:rFonts w:asciiTheme="majorBidi" w:hAnsiTheme="majorBidi" w:cstheme="majorBidi"/>
          <w:noProof/>
        </w:rPr>
        <w:t>Callao, Ferrer, Jarne, &amp; Lainez, 2009</w:t>
      </w:r>
      <w:r w:rsidR="00517A77">
        <w:rPr>
          <w:rFonts w:asciiTheme="majorBidi" w:hAnsiTheme="majorBidi" w:cstheme="majorBidi"/>
          <w:noProof/>
        </w:rPr>
        <w:t>;</w:t>
      </w:r>
      <w:r w:rsidR="00517A77" w:rsidRPr="00517A77">
        <w:rPr>
          <w:rFonts w:asciiTheme="majorBidi" w:hAnsiTheme="majorBidi" w:cstheme="majorBidi"/>
        </w:rPr>
        <w:t xml:space="preserve"> </w:t>
      </w:r>
      <w:proofErr w:type="spellStart"/>
      <w:r w:rsidR="00517A77" w:rsidRPr="00126423">
        <w:rPr>
          <w:rFonts w:asciiTheme="majorBidi" w:hAnsiTheme="majorBidi" w:cstheme="majorBidi"/>
        </w:rPr>
        <w:t>Doubnik</w:t>
      </w:r>
      <w:proofErr w:type="spellEnd"/>
      <w:r w:rsidR="00517A77" w:rsidRPr="00126423">
        <w:rPr>
          <w:rFonts w:asciiTheme="majorBidi" w:hAnsiTheme="majorBidi" w:cstheme="majorBidi"/>
        </w:rPr>
        <w:t xml:space="preserve"> et al</w:t>
      </w:r>
      <w:r w:rsidR="00517A77">
        <w:rPr>
          <w:rFonts w:asciiTheme="majorBidi" w:hAnsiTheme="majorBidi" w:cstheme="majorBidi"/>
        </w:rPr>
        <w:t>.</w:t>
      </w:r>
      <w:r w:rsidR="00517A77" w:rsidRPr="00126423">
        <w:rPr>
          <w:rFonts w:asciiTheme="majorBidi" w:hAnsiTheme="majorBidi" w:cstheme="majorBidi"/>
        </w:rPr>
        <w:t>, 2024</w:t>
      </w:r>
      <w:r w:rsidRPr="00126423">
        <w:rPr>
          <w:rFonts w:asciiTheme="majorBidi" w:hAnsiTheme="majorBidi" w:cstheme="majorBidi"/>
          <w:noProof/>
        </w:rPr>
        <w:t>)</w:t>
      </w:r>
      <w:r w:rsidRPr="00126423">
        <w:rPr>
          <w:rFonts w:asciiTheme="majorBidi" w:hAnsiTheme="majorBidi" w:cstheme="majorBidi"/>
        </w:rPr>
        <w:t xml:space="preserve">. </w:t>
      </w:r>
    </w:p>
    <w:p w14:paraId="49220475" w14:textId="3332EEFA" w:rsidR="009A13BB" w:rsidRPr="00126423" w:rsidRDefault="00B55E14" w:rsidP="009A13BB">
      <w:pPr>
        <w:pStyle w:val="NormalWeb"/>
        <w:shd w:val="clear" w:color="auto" w:fill="FFFFFF"/>
        <w:spacing w:after="300" w:line="360" w:lineRule="auto"/>
        <w:jc w:val="both"/>
        <w:rPr>
          <w:rFonts w:asciiTheme="majorBidi" w:hAnsiTheme="majorBidi" w:cstheme="majorBidi"/>
          <w:sz w:val="22"/>
          <w:szCs w:val="22"/>
        </w:rPr>
      </w:pPr>
      <w:r>
        <w:rPr>
          <w:rFonts w:asciiTheme="majorBidi" w:eastAsiaTheme="minorHAnsi" w:hAnsiTheme="majorBidi" w:cstheme="majorBidi"/>
          <w:sz w:val="22"/>
          <w:szCs w:val="22"/>
        </w:rPr>
        <w:t>In the same context, it is argue</w:t>
      </w:r>
      <w:r w:rsidR="00517A77">
        <w:rPr>
          <w:rFonts w:asciiTheme="majorBidi" w:eastAsiaTheme="minorHAnsi" w:hAnsiTheme="majorBidi" w:cstheme="majorBidi"/>
          <w:sz w:val="22"/>
          <w:szCs w:val="22"/>
        </w:rPr>
        <w:t>d</w:t>
      </w:r>
      <w:r>
        <w:rPr>
          <w:rFonts w:asciiTheme="majorBidi" w:eastAsiaTheme="minorHAnsi" w:hAnsiTheme="majorBidi" w:cstheme="majorBidi"/>
          <w:sz w:val="22"/>
          <w:szCs w:val="22"/>
        </w:rPr>
        <w:t xml:space="preserve"> that </w:t>
      </w:r>
      <w:r w:rsidR="009A13BB" w:rsidRPr="00126423">
        <w:rPr>
          <w:rFonts w:asciiTheme="majorBidi" w:eastAsiaTheme="minorHAnsi" w:hAnsiTheme="majorBidi" w:cstheme="majorBidi"/>
          <w:sz w:val="22"/>
          <w:szCs w:val="22"/>
        </w:rPr>
        <w:t xml:space="preserve">IFRSs enhance the quality of financial information by reducing information asymmetry and comparability on the international level and accordingly improves the quality of the decisions made the users of financial statements </w:t>
      </w:r>
      <w:r w:rsidR="009A13BB" w:rsidRPr="00126423">
        <w:rPr>
          <w:rFonts w:asciiTheme="majorBidi" w:eastAsiaTheme="minorHAnsi" w:hAnsiTheme="majorBidi" w:cstheme="majorBidi"/>
          <w:noProof/>
          <w:sz w:val="22"/>
          <w:szCs w:val="22"/>
        </w:rPr>
        <w:t>(IFRS, 2018)</w:t>
      </w:r>
      <w:r w:rsidR="009A13BB" w:rsidRPr="00126423">
        <w:rPr>
          <w:rFonts w:asciiTheme="majorBidi" w:eastAsiaTheme="minorHAnsi" w:hAnsiTheme="majorBidi" w:cstheme="majorBidi"/>
          <w:sz w:val="22"/>
          <w:szCs w:val="22"/>
        </w:rPr>
        <w:t xml:space="preserve">. </w:t>
      </w:r>
    </w:p>
    <w:p w14:paraId="3911E375" w14:textId="13DB42FA" w:rsidR="009A13BB" w:rsidRPr="00126423" w:rsidRDefault="009A13BB" w:rsidP="009A13BB">
      <w:pPr>
        <w:tabs>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s>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 xml:space="preserve">Beneficiaries of international accounting harmonization include globalization, countries, firms and investors. Countries may be more attractive of FDI and accordingly raise their economic performance. Moreover, adoption of </w:t>
      </w:r>
      <w:proofErr w:type="gramStart"/>
      <w:r w:rsidRPr="00126423">
        <w:rPr>
          <w:rFonts w:asciiTheme="majorBidi" w:hAnsiTheme="majorBidi" w:cstheme="majorBidi"/>
        </w:rPr>
        <w:t>high quality</w:t>
      </w:r>
      <w:proofErr w:type="gramEnd"/>
      <w:r w:rsidRPr="00126423">
        <w:rPr>
          <w:rFonts w:asciiTheme="majorBidi" w:hAnsiTheme="majorBidi" w:cstheme="majorBidi"/>
        </w:rPr>
        <w:t xml:space="preserve"> set of accounting standers is less costly than developing, maintaining, and operating the complex institutional structure</w:t>
      </w:r>
      <w:r w:rsidRPr="00126423">
        <w:rPr>
          <w:rFonts w:asciiTheme="majorBidi" w:hAnsiTheme="majorBidi" w:cstheme="majorBidi"/>
          <w:rtl/>
        </w:rPr>
        <w:t xml:space="preserve"> </w:t>
      </w:r>
      <w:r w:rsidRPr="00126423">
        <w:rPr>
          <w:rFonts w:asciiTheme="majorBidi" w:hAnsiTheme="majorBidi" w:cstheme="majorBidi"/>
          <w:noProof/>
        </w:rPr>
        <w:t>(Ball, 2016)</w:t>
      </w:r>
      <w:r w:rsidRPr="00126423">
        <w:rPr>
          <w:rFonts w:asciiTheme="majorBidi" w:hAnsiTheme="majorBidi" w:cstheme="majorBidi"/>
        </w:rPr>
        <w:t xml:space="preserve">. </w:t>
      </w:r>
      <w:r w:rsidR="007072E7">
        <w:rPr>
          <w:rFonts w:asciiTheme="majorBidi" w:hAnsiTheme="majorBidi" w:cstheme="majorBidi"/>
        </w:rPr>
        <w:t xml:space="preserve">The aforementioned also can help </w:t>
      </w:r>
      <w:r w:rsidR="007072E7">
        <w:rPr>
          <w:rFonts w:asciiTheme="majorBidi" w:eastAsia="Times New Roman" w:hAnsiTheme="majorBidi" w:cstheme="majorBidi"/>
        </w:rPr>
        <w:t>c</w:t>
      </w:r>
      <w:r w:rsidRPr="00126423">
        <w:rPr>
          <w:rFonts w:asciiTheme="majorBidi" w:eastAsia="Times New Roman" w:hAnsiTheme="majorBidi" w:cstheme="majorBidi"/>
        </w:rPr>
        <w:t>ompanies raise fund with lower cost, prepare consolidated financial statements easily</w:t>
      </w:r>
      <w:r w:rsidR="00A90BDF">
        <w:rPr>
          <w:rFonts w:asciiTheme="majorBidi" w:eastAsia="Times New Roman" w:hAnsiTheme="majorBidi" w:cstheme="majorBidi"/>
        </w:rPr>
        <w:t>, and</w:t>
      </w:r>
      <w:r w:rsidRPr="00126423">
        <w:rPr>
          <w:rFonts w:asciiTheme="majorBidi" w:eastAsia="Times New Roman" w:hAnsiTheme="majorBidi" w:cstheme="majorBidi"/>
        </w:rPr>
        <w:t xml:space="preserve"> Investors can exploit opportunities available internationally </w:t>
      </w:r>
      <w:r w:rsidRPr="00126423">
        <w:rPr>
          <w:rFonts w:asciiTheme="majorBidi" w:hAnsiTheme="majorBidi" w:cstheme="majorBidi"/>
        </w:rPr>
        <w:t>and make investment decisions in foreign countries</w:t>
      </w:r>
      <w:r w:rsidR="00A90BDF">
        <w:rPr>
          <w:rFonts w:asciiTheme="majorBidi" w:hAnsiTheme="majorBidi" w:cstheme="majorBidi"/>
        </w:rPr>
        <w:t xml:space="preserve"> </w:t>
      </w:r>
      <w:r w:rsidRPr="00126423">
        <w:rPr>
          <w:rFonts w:asciiTheme="majorBidi" w:hAnsiTheme="majorBidi" w:cstheme="majorBidi"/>
          <w:noProof/>
        </w:rPr>
        <w:t>(Larson &amp; Kenny, 1999)</w:t>
      </w:r>
      <w:r w:rsidRPr="00126423">
        <w:rPr>
          <w:rFonts w:asciiTheme="majorBidi" w:hAnsiTheme="majorBidi" w:cstheme="majorBidi"/>
        </w:rPr>
        <w:t xml:space="preserve">. </w:t>
      </w:r>
      <w:r w:rsidR="00A90BDF">
        <w:rPr>
          <w:rFonts w:asciiTheme="majorBidi" w:eastAsia="Times New Roman" w:hAnsiTheme="majorBidi" w:cstheme="majorBidi"/>
        </w:rPr>
        <w:t>Additionally</w:t>
      </w:r>
      <w:r w:rsidRPr="00126423">
        <w:rPr>
          <w:rFonts w:asciiTheme="majorBidi" w:eastAsia="Times New Roman" w:hAnsiTheme="majorBidi" w:cstheme="majorBidi"/>
        </w:rPr>
        <w:t>, other parties such as rating agencies use accounting information in their scoring models. Accounting diversity decreases the efficiency of these models (ICAEW, 2018).</w:t>
      </w:r>
    </w:p>
    <w:p w14:paraId="7E4FC901" w14:textId="77777777" w:rsidR="009A13BB" w:rsidRPr="00126423" w:rsidRDefault="009A13BB" w:rsidP="009A13BB">
      <w:pPr>
        <w:bidi w:val="0"/>
        <w:spacing w:line="360" w:lineRule="auto"/>
        <w:jc w:val="both"/>
        <w:rPr>
          <w:rFonts w:asciiTheme="majorBidi" w:eastAsia="Times New Roman" w:hAnsiTheme="majorBidi" w:cstheme="majorBidi"/>
        </w:rPr>
      </w:pPr>
    </w:p>
    <w:p w14:paraId="55DF32D5" w14:textId="23C4DAEE" w:rsidR="009A13BB" w:rsidRPr="00126423" w:rsidRDefault="009A13BB" w:rsidP="009A13BB">
      <w:pPr>
        <w:pStyle w:val="NormalWeb"/>
        <w:shd w:val="clear" w:color="auto" w:fill="FFFFFF"/>
        <w:spacing w:after="300" w:line="360" w:lineRule="auto"/>
        <w:jc w:val="both"/>
        <w:rPr>
          <w:rFonts w:asciiTheme="majorBidi" w:hAnsiTheme="majorBidi" w:cstheme="majorBidi"/>
        </w:rPr>
      </w:pPr>
      <w:r w:rsidRPr="00126423">
        <w:rPr>
          <w:rFonts w:asciiTheme="majorBidi" w:hAnsiTheme="majorBidi" w:cstheme="majorBidi"/>
          <w:sz w:val="22"/>
          <w:szCs w:val="22"/>
        </w:rPr>
        <w:lastRenderedPageBreak/>
        <w:t xml:space="preserve">Although the issuance of IAS/IFRS is a the most notable event of international harmonization, their uniformed application was and remains a concern </w:t>
      </w:r>
      <w:r w:rsidRPr="00126423">
        <w:rPr>
          <w:rFonts w:asciiTheme="majorBidi" w:hAnsiTheme="majorBidi" w:cstheme="majorBidi"/>
          <w:noProof/>
          <w:sz w:val="22"/>
          <w:szCs w:val="22"/>
        </w:rPr>
        <w:t>(IFRS, 2018)</w:t>
      </w:r>
      <w:r w:rsidRPr="00126423">
        <w:rPr>
          <w:rFonts w:asciiTheme="majorBidi" w:hAnsiTheme="majorBidi" w:cstheme="majorBidi"/>
          <w:sz w:val="22"/>
          <w:szCs w:val="22"/>
        </w:rPr>
        <w:t xml:space="preserve">. A lack of uniform IFRS application beside the different measurement alternatives permitted by these standards explain this concern. Accordingly, the wide international adoption of IFRS may not lead to comparable financial information </w:t>
      </w:r>
      <w:r w:rsidRPr="00126423">
        <w:rPr>
          <w:rFonts w:asciiTheme="majorBidi" w:hAnsiTheme="majorBidi" w:cstheme="majorBidi"/>
          <w:noProof/>
          <w:sz w:val="22"/>
          <w:szCs w:val="22"/>
        </w:rPr>
        <w:t>(Nobes, 2006; Ball, 2016)</w:t>
      </w:r>
      <w:r w:rsidRPr="00126423">
        <w:rPr>
          <w:rFonts w:asciiTheme="majorBidi" w:hAnsiTheme="majorBidi" w:cstheme="majorBidi"/>
          <w:sz w:val="22"/>
          <w:szCs w:val="22"/>
        </w:rPr>
        <w:t xml:space="preserve">. The literature (e. g. </w:t>
      </w:r>
      <w:r w:rsidR="006C28FD" w:rsidRPr="00126423">
        <w:rPr>
          <w:rFonts w:asciiTheme="majorBidi" w:hAnsiTheme="majorBidi" w:cstheme="majorBidi"/>
          <w:sz w:val="22"/>
          <w:szCs w:val="22"/>
        </w:rPr>
        <w:t>Gray, 1988</w:t>
      </w:r>
      <w:r w:rsidR="006C28FD">
        <w:rPr>
          <w:rFonts w:asciiTheme="majorBidi" w:hAnsiTheme="majorBidi" w:cstheme="majorBidi"/>
          <w:sz w:val="22"/>
          <w:szCs w:val="22"/>
        </w:rPr>
        <w:t xml:space="preserve">; </w:t>
      </w:r>
      <w:r w:rsidRPr="00126423">
        <w:rPr>
          <w:rFonts w:asciiTheme="majorBidi" w:hAnsiTheme="majorBidi" w:cstheme="majorBidi"/>
          <w:sz w:val="22"/>
          <w:szCs w:val="22"/>
        </w:rPr>
        <w:t xml:space="preserve">alia. 2010. </w:t>
      </w:r>
      <w:r w:rsidRPr="00354934">
        <w:rPr>
          <w:rFonts w:asciiTheme="majorBidi" w:hAnsiTheme="majorBidi" w:cstheme="majorBidi"/>
          <w:color w:val="FF0000"/>
          <w:sz w:val="22"/>
          <w:szCs w:val="22"/>
        </w:rPr>
        <w:t>Alia and Branson, 2011a; Alia and Branson, 2011a</w:t>
      </w:r>
      <w:r w:rsidRPr="00126423">
        <w:rPr>
          <w:rFonts w:asciiTheme="majorBidi" w:hAnsiTheme="majorBidi" w:cstheme="majorBidi"/>
          <w:sz w:val="22"/>
          <w:szCs w:val="22"/>
        </w:rPr>
        <w:t>;</w:t>
      </w:r>
      <w:r w:rsidR="006C28FD">
        <w:rPr>
          <w:rFonts w:asciiTheme="majorBidi" w:hAnsiTheme="majorBidi" w:cstheme="majorBidi"/>
          <w:sz w:val="22"/>
          <w:szCs w:val="22"/>
        </w:rPr>
        <w:t xml:space="preserve"> </w:t>
      </w:r>
      <w:proofErr w:type="spellStart"/>
      <w:r w:rsidR="006C28FD" w:rsidRPr="004C7774">
        <w:rPr>
          <w:rFonts w:asciiTheme="majorBidi" w:hAnsiTheme="majorBidi" w:cstheme="majorBidi"/>
        </w:rPr>
        <w:t>Muhabbat</w:t>
      </w:r>
      <w:proofErr w:type="spellEnd"/>
      <w:r w:rsidR="006C28FD">
        <w:rPr>
          <w:rFonts w:asciiTheme="majorBidi" w:hAnsiTheme="majorBidi" w:cstheme="majorBidi"/>
        </w:rPr>
        <w:t xml:space="preserve"> and </w:t>
      </w:r>
      <w:proofErr w:type="spellStart"/>
      <w:r w:rsidR="006C28FD" w:rsidRPr="00CE776C">
        <w:rPr>
          <w:rFonts w:asciiTheme="majorBidi" w:hAnsiTheme="majorBidi" w:cstheme="majorBidi"/>
        </w:rPr>
        <w:t>Jakhongir</w:t>
      </w:r>
      <w:proofErr w:type="spellEnd"/>
      <w:r w:rsidR="006C28FD">
        <w:rPr>
          <w:rFonts w:asciiTheme="majorBidi" w:hAnsiTheme="majorBidi" w:cstheme="majorBidi"/>
        </w:rPr>
        <w:t>, 2023</w:t>
      </w:r>
      <w:r w:rsidRPr="00126423">
        <w:rPr>
          <w:rFonts w:asciiTheme="majorBidi" w:hAnsiTheme="majorBidi" w:cstheme="majorBidi"/>
          <w:sz w:val="22"/>
          <w:szCs w:val="22"/>
        </w:rPr>
        <w:t>) attributed this to the differences in terms of economic, political, legal, financing styles, cultural, taxational, global, firm-specific factors.</w:t>
      </w:r>
    </w:p>
    <w:p w14:paraId="6EADFECD" w14:textId="77777777" w:rsidR="009A13BB" w:rsidRPr="00126423" w:rsidRDefault="009A13BB" w:rsidP="009A13BB">
      <w:pPr>
        <w:pStyle w:val="NormalWeb"/>
        <w:rPr>
          <w:rFonts w:asciiTheme="majorBidi" w:eastAsiaTheme="minorHAnsi" w:hAnsiTheme="majorBidi"/>
          <w:b/>
          <w:bCs/>
          <w:sz w:val="22"/>
          <w:szCs w:val="22"/>
        </w:rPr>
      </w:pPr>
      <w:r w:rsidRPr="00126423">
        <w:rPr>
          <w:rFonts w:asciiTheme="majorBidi" w:eastAsiaTheme="minorHAnsi" w:hAnsiTheme="majorBidi" w:cstheme="majorBidi"/>
          <w:b/>
          <w:bCs/>
          <w:sz w:val="22"/>
          <w:szCs w:val="22"/>
        </w:rPr>
        <w:t>Methodology</w:t>
      </w:r>
    </w:p>
    <w:p w14:paraId="2414EE1E"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b/>
          <w:bCs/>
        </w:rPr>
      </w:pPr>
      <w:r w:rsidRPr="00126423">
        <w:rPr>
          <w:rFonts w:asciiTheme="majorBidi" w:hAnsiTheme="majorBidi" w:cstheme="majorBidi"/>
          <w:b/>
          <w:bCs/>
        </w:rPr>
        <w:t>Sample</w:t>
      </w:r>
    </w:p>
    <w:p w14:paraId="51FFC140" w14:textId="35900506"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 xml:space="preserve">The Arab countries are economically developing or emerging countries. On the other hand, they have common similarities especially in terms of culture. In most of them, firms are required to use IFRS as a basis for preparing financial statements. This study focuses on the Arab Middle Eastern countries that have stock exchanges including Jordan, Egypt, Saudi Arabia, Oman, Kuwait, Qatar and Palestine. The rest of the countries were neglected due to the lack of stock exchanges, the limitation of obtaining required data, and the limited number of the listed industrial companies. The study covers all industrial companies listed on the seven stock exchanges in 2017, conditional to the availability of their data. Following prior studies (e.g. </w:t>
      </w:r>
      <w:r w:rsidR="00D354D7" w:rsidRPr="00126423">
        <w:rPr>
          <w:rFonts w:asciiTheme="majorBidi" w:hAnsiTheme="majorBidi" w:cstheme="majorBidi"/>
        </w:rPr>
        <w:t>Van der Tas, 1988</w:t>
      </w:r>
      <w:r w:rsidR="00D354D7">
        <w:rPr>
          <w:rFonts w:asciiTheme="majorBidi" w:hAnsiTheme="majorBidi" w:cstheme="majorBidi"/>
        </w:rPr>
        <w:t xml:space="preserve">; </w:t>
      </w:r>
      <w:r w:rsidRPr="00126423">
        <w:rPr>
          <w:rFonts w:asciiTheme="majorBidi" w:hAnsiTheme="majorBidi" w:cstheme="majorBidi"/>
        </w:rPr>
        <w:t xml:space="preserve">De Franco et </w:t>
      </w:r>
      <w:r w:rsidRPr="00126423">
        <w:rPr>
          <w:rFonts w:asciiTheme="majorBidi" w:hAnsiTheme="majorBidi" w:cstheme="majorBidi"/>
          <w:i/>
          <w:iCs/>
        </w:rPr>
        <w:t>al</w:t>
      </w:r>
      <w:r w:rsidRPr="00126423">
        <w:rPr>
          <w:rFonts w:asciiTheme="majorBidi" w:hAnsiTheme="majorBidi" w:cstheme="majorBidi"/>
        </w:rPr>
        <w:t xml:space="preserve">, </w:t>
      </w:r>
      <w:r>
        <w:rPr>
          <w:rFonts w:asciiTheme="majorBidi" w:hAnsiTheme="majorBidi" w:cstheme="majorBidi"/>
        </w:rPr>
        <w:t>2010</w:t>
      </w:r>
      <w:r w:rsidRPr="00126423">
        <w:rPr>
          <w:rFonts w:asciiTheme="majorBidi" w:hAnsiTheme="majorBidi" w:cstheme="majorBidi"/>
        </w:rPr>
        <w:t>; Yip and Young, 2012), other sectors were excluded given their specific reporting practices and regulatory requirements. Accordingly, the distortion caused by industry differences would be reduced. The total number of the included companies is 255 company including 34 from Oman, 20 from Kuwait, 56 from Saudi Arabia, 81 from Egypt, 13 from Palestine, 42 from Jordan and 9 from Qatar.</w:t>
      </w:r>
    </w:p>
    <w:p w14:paraId="5BA5919C"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79CFF3F2" w14:textId="77777777" w:rsidR="009A13BB" w:rsidRPr="00126423" w:rsidRDefault="009A13BB" w:rsidP="009A13BB">
      <w:pPr>
        <w:tabs>
          <w:tab w:val="left" w:pos="6615"/>
        </w:tabs>
        <w:autoSpaceDE w:val="0"/>
        <w:autoSpaceDN w:val="0"/>
        <w:bidi w:val="0"/>
        <w:adjustRightInd w:val="0"/>
        <w:spacing w:after="0" w:line="360" w:lineRule="auto"/>
        <w:jc w:val="both"/>
        <w:rPr>
          <w:rFonts w:asciiTheme="majorBidi" w:hAnsiTheme="majorBidi" w:cstheme="majorBidi"/>
          <w:b/>
          <w:bCs/>
          <w:color w:val="1D2129"/>
          <w:shd w:val="clear" w:color="auto" w:fill="FFFFFF"/>
        </w:rPr>
      </w:pPr>
      <w:r w:rsidRPr="00126423">
        <w:rPr>
          <w:rFonts w:asciiTheme="majorBidi" w:eastAsiaTheme="majorEastAsia" w:hAnsiTheme="majorBidi" w:cstheme="majorBidi"/>
          <w:b/>
          <w:bCs/>
          <w:color w:val="2F5496" w:themeColor="accent1" w:themeShade="BF"/>
        </w:rPr>
        <w:t>Data and measures</w:t>
      </w:r>
    </w:p>
    <w:p w14:paraId="017018D9" w14:textId="6AF68C37" w:rsidR="003F547A" w:rsidRPr="003F547A" w:rsidRDefault="009A13BB" w:rsidP="00402870">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Data related to 7 accounting measures is obtained from the financial statements of the sample companies available at the Web sites of the exchanges in the countries included in the study. The accounting measurements considered by the study are</w:t>
      </w:r>
      <w:r w:rsidR="003F547A">
        <w:rPr>
          <w:rFonts w:asciiTheme="majorBidi" w:hAnsiTheme="majorBidi" w:cstheme="majorBidi"/>
        </w:rPr>
        <w:t>: (</w:t>
      </w:r>
      <w:proofErr w:type="spellStart"/>
      <w:r w:rsidR="003F547A">
        <w:rPr>
          <w:rFonts w:asciiTheme="majorBidi" w:hAnsiTheme="majorBidi" w:cstheme="majorBidi"/>
        </w:rPr>
        <w:t>i</w:t>
      </w:r>
      <w:proofErr w:type="spellEnd"/>
      <w:r w:rsidR="003F547A">
        <w:rPr>
          <w:rFonts w:asciiTheme="majorBidi" w:hAnsiTheme="majorBidi" w:cstheme="majorBidi"/>
        </w:rPr>
        <w:t xml:space="preserve">) </w:t>
      </w:r>
      <w:r w:rsidR="003F547A" w:rsidRPr="003F547A">
        <w:rPr>
          <w:rFonts w:asciiTheme="majorBidi" w:hAnsiTheme="majorBidi" w:cstheme="majorBidi"/>
        </w:rPr>
        <w:t>inventory valuation</w:t>
      </w:r>
      <w:r w:rsidR="003F547A">
        <w:rPr>
          <w:rFonts w:asciiTheme="majorBidi" w:hAnsiTheme="majorBidi" w:cstheme="majorBidi"/>
        </w:rPr>
        <w:t xml:space="preserve">; (ii) </w:t>
      </w:r>
      <w:r w:rsidR="003F547A" w:rsidRPr="003F547A">
        <w:rPr>
          <w:rFonts w:asciiTheme="majorBidi" w:hAnsiTheme="majorBidi" w:cstheme="majorBidi"/>
        </w:rPr>
        <w:t>inventory costing method; (iii) borrowing costs; (iv) property, plant &amp; equipment (PPE); (v) depreciation; (vi) foreign currency translation rate; and (vii) investment property.</w:t>
      </w:r>
    </w:p>
    <w:p w14:paraId="4362B394" w14:textId="77777777" w:rsidR="009A13BB" w:rsidRPr="00126423" w:rsidRDefault="009A13BB" w:rsidP="003F547A">
      <w:pPr>
        <w:autoSpaceDE w:val="0"/>
        <w:autoSpaceDN w:val="0"/>
        <w:bidi w:val="0"/>
        <w:adjustRightInd w:val="0"/>
        <w:spacing w:after="0"/>
        <w:jc w:val="both"/>
        <w:rPr>
          <w:rFonts w:asciiTheme="majorBidi" w:hAnsiTheme="majorBidi" w:cstheme="majorBidi"/>
          <w:rtl/>
        </w:rPr>
      </w:pPr>
    </w:p>
    <w:p w14:paraId="3C901AD2" w14:textId="55A03273"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Following the previous studies, H, I and C Ind</w:t>
      </w:r>
      <w:r w:rsidR="00DD1E06">
        <w:rPr>
          <w:rFonts w:asciiTheme="majorBidi" w:hAnsiTheme="majorBidi" w:cstheme="majorBidi"/>
        </w:rPr>
        <w:t>ices</w:t>
      </w:r>
      <w:r w:rsidRPr="00126423">
        <w:rPr>
          <w:rFonts w:asciiTheme="majorBidi" w:hAnsiTheme="majorBidi" w:cstheme="majorBidi"/>
        </w:rPr>
        <w:t xml:space="preserve"> are used to measure harmonization. H (Herfindahl) index which was developed by Van der Tas (1992) to estimate harmonization between companies of the one country in the same period. It reflects the probability of using similar accounting methods by two randomly selected companies. However, H index can be applied only when companies use one alternative accounting method (Mustata &amp; Matis, 2010). </w:t>
      </w:r>
      <w:r w:rsidR="006645E2">
        <w:rPr>
          <w:rFonts w:asciiTheme="majorBidi" w:hAnsiTheme="majorBidi" w:cstheme="majorBidi"/>
        </w:rPr>
        <w:lastRenderedPageBreak/>
        <w:t xml:space="preserve">In detail, the </w:t>
      </w:r>
      <w:r w:rsidR="006645E2" w:rsidRPr="00126423">
        <w:rPr>
          <w:rFonts w:asciiTheme="majorBidi" w:hAnsiTheme="majorBidi" w:cstheme="majorBidi"/>
        </w:rPr>
        <w:t xml:space="preserve">H index </w:t>
      </w:r>
      <w:r w:rsidRPr="00126423">
        <w:rPr>
          <w:rFonts w:asciiTheme="majorBidi" w:hAnsiTheme="majorBidi" w:cstheme="majorBidi"/>
        </w:rPr>
        <w:t>equals the square of relative frequencies of each alternative accounting measure of a specific transaction; it is calculated as follows (</w:t>
      </w:r>
      <w:r w:rsidRPr="00126423">
        <w:rPr>
          <w:rFonts w:asciiTheme="majorBidi" w:hAnsiTheme="majorBidi" w:cstheme="majorBidi"/>
          <w:noProof/>
        </w:rPr>
        <w:t xml:space="preserve">Van der Tas, </w:t>
      </w:r>
      <w:r w:rsidRPr="00126423">
        <w:rPr>
          <w:rFonts w:asciiTheme="majorBidi" w:hAnsiTheme="majorBidi" w:cstheme="majorBidi"/>
        </w:rPr>
        <w:t>1992):</w:t>
      </w:r>
    </w:p>
    <w:p w14:paraId="7F61ACE6"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noProof/>
          <w:lang w:val="en-GB" w:eastAsia="en-GB"/>
        </w:rPr>
        <w:drawing>
          <wp:inline distT="0" distB="0" distL="0" distR="0" wp14:anchorId="5E657FDE" wp14:editId="76E75E42">
            <wp:extent cx="691662"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701213" cy="550422"/>
                    </a:xfrm>
                    <a:prstGeom prst="rect">
                      <a:avLst/>
                    </a:prstGeom>
                  </pic:spPr>
                </pic:pic>
              </a:graphicData>
            </a:graphic>
          </wp:inline>
        </w:drawing>
      </w:r>
    </w:p>
    <w:p w14:paraId="6132DFC0" w14:textId="7DBC4336" w:rsidR="009A13BB" w:rsidRPr="00126423" w:rsidRDefault="009A13BB" w:rsidP="006645E2">
      <w:pPr>
        <w:autoSpaceDE w:val="0"/>
        <w:autoSpaceDN w:val="0"/>
        <w:bidi w:val="0"/>
        <w:adjustRightInd w:val="0"/>
        <w:spacing w:after="0" w:line="360" w:lineRule="auto"/>
        <w:ind w:firstLine="720"/>
        <w:jc w:val="both"/>
        <w:rPr>
          <w:rFonts w:asciiTheme="majorBidi" w:hAnsiTheme="majorBidi" w:cstheme="majorBidi"/>
        </w:rPr>
      </w:pPr>
      <w:r w:rsidRPr="00126423">
        <w:rPr>
          <w:rFonts w:asciiTheme="majorBidi" w:hAnsiTheme="majorBidi" w:cstheme="majorBidi"/>
        </w:rPr>
        <w:t>Where</w:t>
      </w:r>
      <w:r w:rsidR="006645E2">
        <w:rPr>
          <w:rFonts w:asciiTheme="majorBidi" w:hAnsiTheme="majorBidi" w:cstheme="majorBidi"/>
        </w:rPr>
        <w:t>:</w:t>
      </w:r>
      <w:r w:rsidRPr="00126423">
        <w:rPr>
          <w:rFonts w:asciiTheme="majorBidi" w:hAnsiTheme="majorBidi" w:cstheme="majorBidi"/>
        </w:rPr>
        <w:t xml:space="preserve"> </w:t>
      </w:r>
    </w:p>
    <w:p w14:paraId="77BEADAD" w14:textId="77777777" w:rsidR="009A13BB" w:rsidRPr="00126423" w:rsidRDefault="009A13BB" w:rsidP="00282D8B">
      <w:pPr>
        <w:autoSpaceDE w:val="0"/>
        <w:autoSpaceDN w:val="0"/>
        <w:bidi w:val="0"/>
        <w:adjustRightInd w:val="0"/>
        <w:spacing w:after="0" w:line="360" w:lineRule="auto"/>
        <w:ind w:firstLine="720"/>
        <w:jc w:val="both"/>
        <w:rPr>
          <w:rFonts w:asciiTheme="majorBidi" w:hAnsiTheme="majorBidi" w:cstheme="majorBidi"/>
        </w:rPr>
      </w:pPr>
      <w:r w:rsidRPr="00126423">
        <w:rPr>
          <w:rFonts w:asciiTheme="majorBidi" w:hAnsiTheme="majorBidi" w:cstheme="majorBidi"/>
        </w:rPr>
        <w:t>n is the number of alternative accounting methods and p</w:t>
      </w:r>
      <w:r w:rsidRPr="00126423">
        <w:rPr>
          <w:rFonts w:asciiTheme="majorBidi" w:hAnsiTheme="majorBidi" w:cstheme="majorBidi"/>
          <w:vertAlign w:val="subscript"/>
        </w:rPr>
        <w:t>i</w:t>
      </w:r>
      <w:r w:rsidRPr="00126423">
        <w:rPr>
          <w:rFonts w:asciiTheme="majorBidi" w:hAnsiTheme="majorBidi" w:cstheme="majorBidi"/>
        </w:rPr>
        <w:t xml:space="preserve"> is the frequency of method </w:t>
      </w:r>
      <w:proofErr w:type="spellStart"/>
      <w:r w:rsidRPr="00126423">
        <w:rPr>
          <w:rFonts w:asciiTheme="majorBidi" w:hAnsiTheme="majorBidi" w:cstheme="majorBidi"/>
        </w:rPr>
        <w:t>i</w:t>
      </w:r>
      <w:proofErr w:type="spellEnd"/>
      <w:r w:rsidRPr="00126423">
        <w:rPr>
          <w:rFonts w:asciiTheme="majorBidi" w:hAnsiTheme="majorBidi" w:cstheme="majorBidi"/>
        </w:rPr>
        <w:t xml:space="preserve">. </w:t>
      </w:r>
    </w:p>
    <w:p w14:paraId="6919B963"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1AE9E867" w14:textId="712154C0"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 xml:space="preserve">C index is used if several measurement alternatives are available for measuring a particular item. It measures harmonization level between firms on a national level depending on the number of pairs of firms that follow the same measurement. C index ranges from 0 to 1, representing the number of compatible pairs of firms compared with the total number of pairs. It increases as the same method is used by more firms. According to this </w:t>
      </w:r>
      <w:r w:rsidR="00BC33F5">
        <w:rPr>
          <w:rFonts w:asciiTheme="majorBidi" w:hAnsiTheme="majorBidi" w:cstheme="majorBidi"/>
        </w:rPr>
        <w:t>i</w:t>
      </w:r>
      <w:r w:rsidRPr="00126423">
        <w:rPr>
          <w:rFonts w:asciiTheme="majorBidi" w:hAnsiTheme="majorBidi" w:cstheme="majorBidi"/>
        </w:rPr>
        <w:t>ndex, financial statements of two firms are compatible (harmonized) if both of them apply the same accounting measure. C index is calculated as follows (</w:t>
      </w:r>
      <w:r w:rsidRPr="00126423">
        <w:rPr>
          <w:rFonts w:asciiTheme="majorBidi" w:hAnsiTheme="majorBidi" w:cstheme="majorBidi"/>
          <w:noProof/>
        </w:rPr>
        <w:t xml:space="preserve">Van der Tas, </w:t>
      </w:r>
      <w:r w:rsidRPr="00126423">
        <w:rPr>
          <w:rFonts w:asciiTheme="majorBidi" w:hAnsiTheme="majorBidi" w:cstheme="majorBidi"/>
        </w:rPr>
        <w:t xml:space="preserve">1992): </w:t>
      </w:r>
    </w:p>
    <w:p w14:paraId="1A857E4E"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0E4B235F"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noProof/>
          <w:lang w:val="en-GB" w:eastAsia="en-GB"/>
        </w:rPr>
        <w:drawing>
          <wp:inline distT="0" distB="0" distL="0" distR="0" wp14:anchorId="2517F86C" wp14:editId="23A2172F">
            <wp:extent cx="1651878" cy="54292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652270" cy="543054"/>
                    </a:xfrm>
                    <a:prstGeom prst="rect">
                      <a:avLst/>
                    </a:prstGeom>
                  </pic:spPr>
                </pic:pic>
              </a:graphicData>
            </a:graphic>
          </wp:inline>
        </w:drawing>
      </w:r>
    </w:p>
    <w:p w14:paraId="6AC336C0" w14:textId="77777777" w:rsidR="00282D8B" w:rsidRDefault="009A13BB" w:rsidP="00282D8B">
      <w:pPr>
        <w:autoSpaceDE w:val="0"/>
        <w:autoSpaceDN w:val="0"/>
        <w:bidi w:val="0"/>
        <w:adjustRightInd w:val="0"/>
        <w:spacing w:after="0" w:line="360" w:lineRule="auto"/>
        <w:ind w:firstLine="720"/>
        <w:jc w:val="both"/>
        <w:rPr>
          <w:rFonts w:asciiTheme="majorBidi" w:hAnsiTheme="majorBidi" w:cstheme="majorBidi"/>
        </w:rPr>
      </w:pPr>
      <w:r w:rsidRPr="00126423">
        <w:rPr>
          <w:rFonts w:asciiTheme="majorBidi" w:hAnsiTheme="majorBidi" w:cstheme="majorBidi"/>
        </w:rPr>
        <w:t>Where:</w:t>
      </w:r>
    </w:p>
    <w:p w14:paraId="7398AD5B" w14:textId="5E184395" w:rsidR="009A13BB" w:rsidRPr="00126423" w:rsidRDefault="009A13BB" w:rsidP="00282D8B">
      <w:pPr>
        <w:autoSpaceDE w:val="0"/>
        <w:autoSpaceDN w:val="0"/>
        <w:bidi w:val="0"/>
        <w:adjustRightInd w:val="0"/>
        <w:spacing w:after="0" w:line="360" w:lineRule="auto"/>
        <w:ind w:left="720"/>
        <w:jc w:val="both"/>
        <w:rPr>
          <w:rFonts w:asciiTheme="majorBidi" w:hAnsiTheme="majorBidi" w:cstheme="majorBidi"/>
        </w:rPr>
      </w:pPr>
      <w:r w:rsidRPr="00126423">
        <w:rPr>
          <w:rFonts w:asciiTheme="majorBidi" w:hAnsiTheme="majorBidi" w:cstheme="majorBidi"/>
        </w:rPr>
        <w:t xml:space="preserve">N is the number of the alternative </w:t>
      </w:r>
      <w:proofErr w:type="gramStart"/>
      <w:r w:rsidRPr="00126423">
        <w:rPr>
          <w:rFonts w:asciiTheme="majorBidi" w:hAnsiTheme="majorBidi" w:cstheme="majorBidi"/>
        </w:rPr>
        <w:t>methods,</w:t>
      </w:r>
      <w:proofErr w:type="gramEnd"/>
      <w:r w:rsidRPr="00126423">
        <w:rPr>
          <w:rFonts w:asciiTheme="majorBidi" w:hAnsiTheme="majorBidi" w:cstheme="majorBidi"/>
        </w:rPr>
        <w:t xml:space="preserve"> n is the number of sampled financial reporting and at the number of entities applying the t accounting method. </w:t>
      </w:r>
    </w:p>
    <w:p w14:paraId="433F5E97"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711C9B4C" w14:textId="08C5CD8A"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 xml:space="preserve">The I-index measure differences between countries in accounting practices. The I-index doesn’t indicate the statistical significance of accounting harmonization, rather it is a scale to estimate the harmonization level for comparative purposes </w:t>
      </w:r>
      <w:r w:rsidRPr="00126423">
        <w:rPr>
          <w:rFonts w:asciiTheme="majorBidi" w:hAnsiTheme="majorBidi" w:cstheme="majorBidi"/>
          <w:noProof/>
        </w:rPr>
        <w:t>(Herrmann &amp; Thomas, 1995; Emenyonu &amp; Adhikari, 1998)</w:t>
      </w:r>
      <w:r w:rsidRPr="00126423">
        <w:rPr>
          <w:rFonts w:asciiTheme="majorBidi" w:hAnsiTheme="majorBidi" w:cstheme="majorBidi"/>
        </w:rPr>
        <w:t xml:space="preserve">. The formula of I-index is </w:t>
      </w:r>
      <w:r w:rsidR="00282D8B">
        <w:rPr>
          <w:rFonts w:asciiTheme="majorBidi" w:hAnsiTheme="majorBidi" w:cstheme="majorBidi"/>
        </w:rPr>
        <w:t>as follows</w:t>
      </w:r>
      <w:r w:rsidRPr="00126423">
        <w:rPr>
          <w:rFonts w:asciiTheme="majorBidi" w:hAnsiTheme="majorBidi" w:cstheme="majorBidi"/>
        </w:rPr>
        <w:t>:</w:t>
      </w:r>
    </w:p>
    <w:p w14:paraId="717EA7A5"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22F25AA8"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noProof/>
          <w:lang w:val="en-GB" w:eastAsia="en-GB"/>
        </w:rPr>
        <w:drawing>
          <wp:inline distT="0" distB="0" distL="0" distR="0" wp14:anchorId="1C6038A6" wp14:editId="3269F23A">
            <wp:extent cx="1667368" cy="67627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672060" cy="678178"/>
                    </a:xfrm>
                    <a:prstGeom prst="rect">
                      <a:avLst/>
                    </a:prstGeom>
                  </pic:spPr>
                </pic:pic>
              </a:graphicData>
            </a:graphic>
          </wp:inline>
        </w:drawing>
      </w:r>
    </w:p>
    <w:p w14:paraId="1AF3428B" w14:textId="77777777" w:rsidR="00282D8B" w:rsidRDefault="009A13BB" w:rsidP="00282D8B">
      <w:pPr>
        <w:autoSpaceDE w:val="0"/>
        <w:autoSpaceDN w:val="0"/>
        <w:bidi w:val="0"/>
        <w:adjustRightInd w:val="0"/>
        <w:spacing w:after="0" w:line="360" w:lineRule="auto"/>
        <w:ind w:firstLine="720"/>
        <w:jc w:val="both"/>
        <w:rPr>
          <w:rFonts w:asciiTheme="majorBidi" w:hAnsiTheme="majorBidi" w:cstheme="majorBidi"/>
        </w:rPr>
      </w:pPr>
      <w:r w:rsidRPr="00126423">
        <w:rPr>
          <w:rFonts w:asciiTheme="majorBidi" w:hAnsiTheme="majorBidi" w:cstheme="majorBidi"/>
        </w:rPr>
        <w:t>Where:</w:t>
      </w:r>
    </w:p>
    <w:p w14:paraId="468CA04B" w14:textId="4BDDE6FD" w:rsidR="009A13BB" w:rsidRPr="00126423" w:rsidRDefault="009A13BB" w:rsidP="00282D8B">
      <w:pPr>
        <w:autoSpaceDE w:val="0"/>
        <w:autoSpaceDN w:val="0"/>
        <w:bidi w:val="0"/>
        <w:adjustRightInd w:val="0"/>
        <w:spacing w:after="0" w:line="360" w:lineRule="auto"/>
        <w:ind w:left="720"/>
        <w:jc w:val="both"/>
        <w:rPr>
          <w:rFonts w:asciiTheme="majorBidi" w:hAnsiTheme="majorBidi" w:cstheme="majorBidi"/>
        </w:rPr>
      </w:pPr>
      <w:r w:rsidRPr="00126423">
        <w:rPr>
          <w:rFonts w:asciiTheme="majorBidi" w:hAnsiTheme="majorBidi" w:cstheme="majorBidi"/>
        </w:rPr>
        <w:t xml:space="preserve">m is the alternative accounting method, n number of firms, </w:t>
      </w:r>
      <w:proofErr w:type="spellStart"/>
      <w:proofErr w:type="gramStart"/>
      <w:r w:rsidRPr="00126423">
        <w:rPr>
          <w:rFonts w:asciiTheme="majorBidi" w:hAnsiTheme="majorBidi" w:cstheme="majorBidi"/>
        </w:rPr>
        <w:t>P</w:t>
      </w:r>
      <w:r w:rsidRPr="00126423">
        <w:rPr>
          <w:rFonts w:asciiTheme="majorBidi" w:hAnsiTheme="majorBidi" w:cstheme="majorBidi"/>
          <w:vertAlign w:val="subscript"/>
        </w:rPr>
        <w:t>m,n</w:t>
      </w:r>
      <w:proofErr w:type="spellEnd"/>
      <w:proofErr w:type="gramEnd"/>
      <w:r w:rsidRPr="00126423">
        <w:rPr>
          <w:rFonts w:asciiTheme="majorBidi" w:hAnsiTheme="majorBidi" w:cstheme="majorBidi"/>
        </w:rPr>
        <w:t xml:space="preserve"> relative frequency of the utilization of method m in country n.</w:t>
      </w:r>
    </w:p>
    <w:p w14:paraId="1BEE3F1B"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1DF7AAD4"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 xml:space="preserve">I index values range from 0 to 1. It reflects the percentage of the pairs of measured firms that are comparable. The possible sensitivity increases if the number of observed countries </w:t>
      </w:r>
      <w:r w:rsidRPr="00126423">
        <w:rPr>
          <w:rFonts w:asciiTheme="majorBidi" w:hAnsiTheme="majorBidi" w:cstheme="majorBidi"/>
        </w:rPr>
        <w:lastRenderedPageBreak/>
        <w:t>increases</w:t>
      </w:r>
      <w:r w:rsidRPr="00126423">
        <w:rPr>
          <w:rFonts w:asciiTheme="majorBidi" w:hAnsiTheme="majorBidi" w:cstheme="majorBidi"/>
          <w:noProof/>
        </w:rPr>
        <w:t>.</w:t>
      </w:r>
      <w:r w:rsidRPr="00126423">
        <w:rPr>
          <w:rFonts w:asciiTheme="majorBidi" w:hAnsiTheme="majorBidi" w:cstheme="majorBidi"/>
        </w:rPr>
        <w:t xml:space="preserve"> To control this sensitivity, </w:t>
      </w:r>
      <w:r w:rsidRPr="00126423">
        <w:rPr>
          <w:rFonts w:asciiTheme="majorBidi" w:hAnsiTheme="majorBidi" w:cstheme="majorBidi"/>
          <w:noProof/>
        </w:rPr>
        <w:t xml:space="preserve">Morris and Parker (1999) </w:t>
      </w:r>
      <w:r w:rsidRPr="00126423">
        <w:rPr>
          <w:rFonts w:asciiTheme="majorBidi" w:hAnsiTheme="majorBidi" w:cstheme="majorBidi"/>
        </w:rPr>
        <w:t xml:space="preserve">proposed the adjusted I index. When all firms in a particular country choose one of the available alternatives, the proportions are recorded as 0.99 for the unanimous method instead of 1, and 0.01 for the non-practiced method instead of 0. This method is used given its simplicity </w:t>
      </w:r>
      <w:r w:rsidRPr="00126423">
        <w:rPr>
          <w:rFonts w:asciiTheme="majorBidi" w:hAnsiTheme="majorBidi" w:cstheme="majorBidi"/>
          <w:noProof/>
        </w:rPr>
        <w:t>(Canibano, 2000)</w:t>
      </w:r>
      <w:r w:rsidRPr="00126423">
        <w:rPr>
          <w:rFonts w:asciiTheme="majorBidi" w:hAnsiTheme="majorBidi" w:cstheme="majorBidi"/>
          <w:color w:val="3D3D3D"/>
        </w:rPr>
        <w:t>.</w:t>
      </w:r>
    </w:p>
    <w:p w14:paraId="41614D73" w14:textId="27C89806" w:rsidR="009A13BB" w:rsidRPr="00126423" w:rsidRDefault="009A13BB" w:rsidP="00A04196">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Based on</w:t>
      </w:r>
      <w:r w:rsidRPr="00126423">
        <w:rPr>
          <w:rFonts w:asciiTheme="majorBidi" w:hAnsiTheme="majorBidi" w:cstheme="majorBidi"/>
          <w:noProof/>
        </w:rPr>
        <w:t xml:space="preserve"> the Van der Tas (1988) harmonization is classified into three catrgories, high, medium and low.</w:t>
      </w:r>
      <w:r w:rsidRPr="00126423">
        <w:rPr>
          <w:rFonts w:asciiTheme="majorBidi" w:hAnsiTheme="majorBidi" w:cstheme="majorBidi"/>
        </w:rPr>
        <w:t xml:space="preserve"> High harmonization is observed if the index is 80% or more. From 60% to less than 80% it is medium while </w:t>
      </w:r>
      <w:r w:rsidR="00A04196">
        <w:rPr>
          <w:rFonts w:asciiTheme="majorBidi" w:hAnsiTheme="majorBidi" w:cstheme="majorBidi"/>
        </w:rPr>
        <w:t>a percentage less than</w:t>
      </w:r>
      <w:r w:rsidRPr="00126423">
        <w:rPr>
          <w:rFonts w:asciiTheme="majorBidi" w:hAnsiTheme="majorBidi" w:cstheme="majorBidi"/>
        </w:rPr>
        <w:t xml:space="preserve"> 60% </w:t>
      </w:r>
      <w:r w:rsidR="00A04196">
        <w:rPr>
          <w:rFonts w:asciiTheme="majorBidi" w:hAnsiTheme="majorBidi" w:cstheme="majorBidi"/>
        </w:rPr>
        <w:t xml:space="preserve">indicates that </w:t>
      </w:r>
      <w:r w:rsidRPr="00126423">
        <w:rPr>
          <w:rFonts w:asciiTheme="majorBidi" w:hAnsiTheme="majorBidi" w:cstheme="majorBidi"/>
        </w:rPr>
        <w:t xml:space="preserve">the harmonization is considered low </w:t>
      </w:r>
      <w:r w:rsidRPr="00126423">
        <w:rPr>
          <w:rFonts w:asciiTheme="majorBidi" w:hAnsiTheme="majorBidi" w:cstheme="majorBidi"/>
          <w:noProof/>
        </w:rPr>
        <w:t>(Ahmed &amp; Ali, 2015)</w:t>
      </w:r>
      <w:r w:rsidRPr="00126423">
        <w:rPr>
          <w:rFonts w:asciiTheme="majorBidi" w:hAnsiTheme="majorBidi" w:cstheme="majorBidi"/>
        </w:rPr>
        <w:t>.</w:t>
      </w:r>
    </w:p>
    <w:p w14:paraId="4CE504BA"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08F32625"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Annual reports of the sampled firms were scanned to identify the methods used to measure each of the considered items. Then, the number of firms using each alternative for every country are counted for computing C index and I index (</w:t>
      </w:r>
      <w:proofErr w:type="spellStart"/>
      <w:r w:rsidRPr="00126423">
        <w:rPr>
          <w:rFonts w:asciiTheme="majorBidi" w:hAnsiTheme="majorBidi" w:cstheme="majorBidi"/>
        </w:rPr>
        <w:t>Chairas</w:t>
      </w:r>
      <w:proofErr w:type="spellEnd"/>
      <w:r w:rsidRPr="00126423">
        <w:rPr>
          <w:rFonts w:asciiTheme="majorBidi" w:hAnsiTheme="majorBidi" w:cstheme="majorBidi"/>
        </w:rPr>
        <w:t xml:space="preserve"> &amp; </w:t>
      </w:r>
      <w:proofErr w:type="spellStart"/>
      <w:r w:rsidRPr="00126423">
        <w:rPr>
          <w:rFonts w:asciiTheme="majorBidi" w:hAnsiTheme="majorBidi" w:cstheme="majorBidi"/>
        </w:rPr>
        <w:t>Radianto</w:t>
      </w:r>
      <w:proofErr w:type="spellEnd"/>
      <w:r w:rsidRPr="00126423">
        <w:rPr>
          <w:rFonts w:asciiTheme="majorBidi" w:hAnsiTheme="majorBidi" w:cstheme="majorBidi"/>
        </w:rPr>
        <w:t xml:space="preserve">, 2001; Archer, </w:t>
      </w:r>
      <w:proofErr w:type="spellStart"/>
      <w:r w:rsidRPr="00126423">
        <w:rPr>
          <w:rFonts w:asciiTheme="majorBidi" w:hAnsiTheme="majorBidi" w:cstheme="majorBidi"/>
        </w:rPr>
        <w:t>Delvaille</w:t>
      </w:r>
      <w:proofErr w:type="spellEnd"/>
      <w:r w:rsidRPr="00126423">
        <w:rPr>
          <w:rFonts w:asciiTheme="majorBidi" w:hAnsiTheme="majorBidi" w:cstheme="majorBidi"/>
        </w:rPr>
        <w:t xml:space="preserve"> &amp; McLeay, 1995; Catuogno, 2011; </w:t>
      </w:r>
      <w:proofErr w:type="spellStart"/>
      <w:r w:rsidRPr="00126423">
        <w:rPr>
          <w:rFonts w:asciiTheme="majorBidi" w:hAnsiTheme="majorBidi" w:cstheme="majorBidi"/>
        </w:rPr>
        <w:t>Halbouni</w:t>
      </w:r>
      <w:proofErr w:type="spellEnd"/>
      <w:r w:rsidRPr="00126423">
        <w:rPr>
          <w:rFonts w:asciiTheme="majorBidi" w:hAnsiTheme="majorBidi" w:cstheme="majorBidi"/>
        </w:rPr>
        <w:t>, 2006; Ahmed &amp;Ali, 2015). Furthermore, notes of the financial statements were scanned to determine if the used methods are fully disclosed in an understandable manner. Seven items are selected in this study to examine the harmonization degree given their significant effect on income and assets valuation. Further, these items are widely implemented by industrial firms and sufficient related disclosure is available.</w:t>
      </w:r>
    </w:p>
    <w:p w14:paraId="730B135C"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0AF299ED" w14:textId="538B3884"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r w:rsidRPr="00126423">
        <w:rPr>
          <w:rFonts w:asciiTheme="majorBidi" w:hAnsiTheme="majorBidi" w:cstheme="majorBidi"/>
        </w:rPr>
        <w:t>Following</w:t>
      </w:r>
      <w:r w:rsidRPr="00126423">
        <w:rPr>
          <w:rFonts w:asciiTheme="majorBidi" w:hAnsiTheme="majorBidi" w:cstheme="majorBidi"/>
          <w:noProof/>
        </w:rPr>
        <w:t xml:space="preserve"> Radebaugh and Gray (1997)</w:t>
      </w:r>
      <w:r w:rsidRPr="00126423">
        <w:rPr>
          <w:rFonts w:asciiTheme="majorBidi" w:hAnsiTheme="majorBidi" w:cstheme="majorBidi"/>
        </w:rPr>
        <w:t>, 7 measurement methods of selected items including property, plant and equipment, inventories, foreign currency translation, and borrowing costs are included as follows</w:t>
      </w:r>
      <w:r w:rsidR="00401B6C">
        <w:rPr>
          <w:rFonts w:asciiTheme="majorBidi" w:hAnsiTheme="majorBidi" w:cstheme="majorBidi"/>
        </w:rPr>
        <w:t>.</w:t>
      </w:r>
      <w:r w:rsidRPr="00126423">
        <w:rPr>
          <w:rFonts w:asciiTheme="majorBidi" w:hAnsiTheme="majorBidi" w:cstheme="majorBidi"/>
        </w:rPr>
        <w:t xml:space="preserve"> Table 1</w:t>
      </w:r>
      <w:r w:rsidR="00401B6C">
        <w:rPr>
          <w:rFonts w:asciiTheme="majorBidi" w:hAnsiTheme="majorBidi" w:cstheme="majorBidi"/>
        </w:rPr>
        <w:t xml:space="preserve"> </w:t>
      </w:r>
      <w:r w:rsidR="00F74745">
        <w:rPr>
          <w:rFonts w:asciiTheme="majorBidi" w:hAnsiTheme="majorBidi" w:cstheme="majorBidi"/>
        </w:rPr>
        <w:t>explains these measurements</w:t>
      </w:r>
      <w:r w:rsidRPr="00126423">
        <w:rPr>
          <w:rFonts w:asciiTheme="majorBidi" w:hAnsiTheme="majorBidi" w:cstheme="majorBidi"/>
        </w:rPr>
        <w:t>.</w:t>
      </w:r>
    </w:p>
    <w:p w14:paraId="1807C2FC" w14:textId="77777777" w:rsidR="009A13BB" w:rsidRPr="00126423" w:rsidRDefault="009A13BB" w:rsidP="009A13BB">
      <w:pPr>
        <w:autoSpaceDE w:val="0"/>
        <w:autoSpaceDN w:val="0"/>
        <w:bidi w:val="0"/>
        <w:adjustRightInd w:val="0"/>
        <w:spacing w:after="0" w:line="360" w:lineRule="auto"/>
        <w:jc w:val="both"/>
        <w:rPr>
          <w:rFonts w:asciiTheme="majorBidi" w:hAnsiTheme="majorBidi" w:cstheme="majorBidi"/>
        </w:rPr>
      </w:pPr>
    </w:p>
    <w:p w14:paraId="7CD005A0" w14:textId="77777777" w:rsidR="009A13BB" w:rsidRPr="00126423" w:rsidRDefault="009A13BB" w:rsidP="009A13BB">
      <w:pPr>
        <w:autoSpaceDE w:val="0"/>
        <w:autoSpaceDN w:val="0"/>
        <w:bidi w:val="0"/>
        <w:adjustRightInd w:val="0"/>
        <w:spacing w:after="0" w:line="240" w:lineRule="auto"/>
        <w:jc w:val="both"/>
        <w:rPr>
          <w:rFonts w:asciiTheme="majorBidi" w:hAnsiTheme="majorBidi" w:cstheme="majorBidi"/>
          <w:b/>
          <w:bCs/>
          <w:lang w:val="en-GB"/>
        </w:rPr>
      </w:pPr>
      <w:r w:rsidRPr="00126423">
        <w:rPr>
          <w:rFonts w:asciiTheme="majorBidi" w:hAnsiTheme="majorBidi" w:cstheme="majorBidi"/>
        </w:rPr>
        <w:t xml:space="preserve"> </w:t>
      </w:r>
      <w:r w:rsidRPr="00126423">
        <w:rPr>
          <w:rFonts w:asciiTheme="majorBidi" w:hAnsiTheme="majorBidi" w:cstheme="majorBidi"/>
          <w:b/>
          <w:bCs/>
          <w:lang w:val="en-GB"/>
        </w:rPr>
        <w:t>Table1: Detailed Accounting Measurement Methods</w:t>
      </w:r>
    </w:p>
    <w:tbl>
      <w:tblPr>
        <w:tblStyle w:val="TableGrid"/>
        <w:tblW w:w="0" w:type="auto"/>
        <w:tblInd w:w="-682" w:type="dxa"/>
        <w:tblLook w:val="04A0" w:firstRow="1" w:lastRow="0" w:firstColumn="1" w:lastColumn="0" w:noHBand="0" w:noVBand="1"/>
      </w:tblPr>
      <w:tblGrid>
        <w:gridCol w:w="540"/>
        <w:gridCol w:w="1758"/>
        <w:gridCol w:w="2187"/>
        <w:gridCol w:w="3078"/>
        <w:gridCol w:w="1421"/>
      </w:tblGrid>
      <w:tr w:rsidR="009A13BB" w:rsidRPr="006510A9" w14:paraId="0DFFB3D4" w14:textId="77777777" w:rsidTr="00280E77">
        <w:tc>
          <w:tcPr>
            <w:tcW w:w="0" w:type="auto"/>
            <w:hideMark/>
          </w:tcPr>
          <w:p w14:paraId="5374C149"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b/>
                <w:bCs/>
                <w:lang w:val="en-GB"/>
              </w:rPr>
            </w:pPr>
            <w:r w:rsidRPr="00126423">
              <w:rPr>
                <w:rFonts w:asciiTheme="majorBidi" w:hAnsiTheme="majorBidi" w:cstheme="majorBidi"/>
                <w:b/>
                <w:bCs/>
                <w:lang w:val="en-GB"/>
              </w:rPr>
              <w:t>No.</w:t>
            </w:r>
          </w:p>
        </w:tc>
        <w:tc>
          <w:tcPr>
            <w:tcW w:w="0" w:type="auto"/>
            <w:hideMark/>
          </w:tcPr>
          <w:p w14:paraId="4127F898"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b/>
                <w:bCs/>
                <w:lang w:val="en-GB"/>
              </w:rPr>
            </w:pPr>
            <w:r w:rsidRPr="00126423">
              <w:rPr>
                <w:rFonts w:asciiTheme="majorBidi" w:hAnsiTheme="majorBidi" w:cstheme="majorBidi"/>
                <w:b/>
                <w:bCs/>
                <w:lang w:val="en-GB"/>
              </w:rPr>
              <w:t>Accounting Measurement</w:t>
            </w:r>
          </w:p>
        </w:tc>
        <w:tc>
          <w:tcPr>
            <w:tcW w:w="0" w:type="auto"/>
            <w:hideMark/>
          </w:tcPr>
          <w:p w14:paraId="3578A85A"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b/>
                <w:bCs/>
                <w:lang w:val="en-GB"/>
              </w:rPr>
            </w:pPr>
            <w:r w:rsidRPr="00126423">
              <w:rPr>
                <w:rFonts w:asciiTheme="majorBidi" w:hAnsiTheme="majorBidi" w:cstheme="majorBidi"/>
                <w:b/>
                <w:bCs/>
                <w:lang w:val="en-GB"/>
              </w:rPr>
              <w:t>Detailed Measurement Methods</w:t>
            </w:r>
          </w:p>
        </w:tc>
        <w:tc>
          <w:tcPr>
            <w:tcW w:w="0" w:type="auto"/>
            <w:hideMark/>
          </w:tcPr>
          <w:p w14:paraId="70DF42F5"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b/>
                <w:bCs/>
                <w:lang w:val="en-GB"/>
              </w:rPr>
            </w:pPr>
            <w:r w:rsidRPr="00126423">
              <w:rPr>
                <w:rFonts w:asciiTheme="majorBidi" w:hAnsiTheme="majorBidi" w:cstheme="majorBidi"/>
                <w:b/>
                <w:bCs/>
                <w:lang w:val="en-GB"/>
              </w:rPr>
              <w:t>Additional Context and Alternatives</w:t>
            </w:r>
          </w:p>
        </w:tc>
        <w:tc>
          <w:tcPr>
            <w:tcW w:w="0" w:type="auto"/>
            <w:hideMark/>
          </w:tcPr>
          <w:p w14:paraId="4018AF09"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b/>
                <w:bCs/>
                <w:lang w:val="en-GB"/>
              </w:rPr>
            </w:pPr>
            <w:r w:rsidRPr="00126423">
              <w:rPr>
                <w:rFonts w:asciiTheme="majorBidi" w:hAnsiTheme="majorBidi" w:cstheme="majorBidi"/>
                <w:b/>
                <w:bCs/>
                <w:lang w:val="en-GB"/>
              </w:rPr>
              <w:t>References</w:t>
            </w:r>
          </w:p>
        </w:tc>
      </w:tr>
      <w:tr w:rsidR="009A13BB" w:rsidRPr="006510A9" w14:paraId="4788FB4B" w14:textId="77777777" w:rsidTr="00280E77">
        <w:tc>
          <w:tcPr>
            <w:tcW w:w="0" w:type="auto"/>
            <w:hideMark/>
          </w:tcPr>
          <w:p w14:paraId="25A29167"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1</w:t>
            </w:r>
          </w:p>
        </w:tc>
        <w:tc>
          <w:tcPr>
            <w:tcW w:w="0" w:type="auto"/>
            <w:hideMark/>
          </w:tcPr>
          <w:p w14:paraId="68B0D789"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Inventory Valuation</w:t>
            </w:r>
          </w:p>
        </w:tc>
        <w:tc>
          <w:tcPr>
            <w:tcW w:w="0" w:type="auto"/>
            <w:hideMark/>
          </w:tcPr>
          <w:p w14:paraId="634988AC"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Lower of Cost or Net Realizable Value (NRV)</w:t>
            </w:r>
          </w:p>
        </w:tc>
        <w:tc>
          <w:tcPr>
            <w:tcW w:w="0" w:type="auto"/>
            <w:hideMark/>
          </w:tcPr>
          <w:p w14:paraId="170D0986"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Includes options like pure cost or NRV, with variations for raw materials; categories include other methods, not disclosed, and not applicable.</w:t>
            </w:r>
          </w:p>
        </w:tc>
        <w:tc>
          <w:tcPr>
            <w:tcW w:w="0" w:type="auto"/>
            <w:hideMark/>
          </w:tcPr>
          <w:p w14:paraId="6A3327C1" w14:textId="6FF08814"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 xml:space="preserve">Bragg </w:t>
            </w:r>
            <w:r w:rsidR="008F580F">
              <w:rPr>
                <w:rFonts w:asciiTheme="majorBidi" w:hAnsiTheme="majorBidi" w:cstheme="majorBidi"/>
                <w:lang w:val="en-GB"/>
              </w:rPr>
              <w:t>(</w:t>
            </w:r>
            <w:r w:rsidRPr="00126423">
              <w:rPr>
                <w:rFonts w:asciiTheme="majorBidi" w:hAnsiTheme="majorBidi" w:cstheme="majorBidi"/>
                <w:lang w:val="en-GB"/>
              </w:rPr>
              <w:t>2018</w:t>
            </w:r>
            <w:r w:rsidR="008F580F">
              <w:rPr>
                <w:rFonts w:asciiTheme="majorBidi" w:hAnsiTheme="majorBidi" w:cstheme="majorBidi"/>
                <w:lang w:val="en-GB"/>
              </w:rPr>
              <w:t>)</w:t>
            </w:r>
          </w:p>
        </w:tc>
      </w:tr>
      <w:tr w:rsidR="009A13BB" w:rsidRPr="006510A9" w14:paraId="6738B597" w14:textId="77777777" w:rsidTr="00280E77">
        <w:tc>
          <w:tcPr>
            <w:tcW w:w="0" w:type="auto"/>
            <w:hideMark/>
          </w:tcPr>
          <w:p w14:paraId="6D1D4077"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2</w:t>
            </w:r>
          </w:p>
        </w:tc>
        <w:tc>
          <w:tcPr>
            <w:tcW w:w="0" w:type="auto"/>
            <w:hideMark/>
          </w:tcPr>
          <w:p w14:paraId="163EF55E"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Inventory Costing Method</w:t>
            </w:r>
          </w:p>
        </w:tc>
        <w:tc>
          <w:tcPr>
            <w:tcW w:w="0" w:type="auto"/>
            <w:hideMark/>
          </w:tcPr>
          <w:p w14:paraId="0857CC6D"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FIFO (First-In, First-Out); Weighted Average (W/A); Mixed Methods</w:t>
            </w:r>
          </w:p>
        </w:tc>
        <w:tc>
          <w:tcPr>
            <w:tcW w:w="0" w:type="auto"/>
            <w:hideMark/>
          </w:tcPr>
          <w:p w14:paraId="2B4A2AB2"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Consideration of specific identification and LIFO (Last-In, First-Out) where relevant; includes not disclosed and not applicable options.</w:t>
            </w:r>
          </w:p>
        </w:tc>
        <w:tc>
          <w:tcPr>
            <w:tcW w:w="0" w:type="auto"/>
            <w:hideMark/>
          </w:tcPr>
          <w:p w14:paraId="5754B1E0" w14:textId="5E3298CF"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 xml:space="preserve">Bragg </w:t>
            </w:r>
            <w:r w:rsidR="008F580F">
              <w:rPr>
                <w:rFonts w:asciiTheme="majorBidi" w:hAnsiTheme="majorBidi" w:cstheme="majorBidi"/>
                <w:lang w:val="en-GB"/>
              </w:rPr>
              <w:t>(</w:t>
            </w:r>
            <w:r w:rsidRPr="00126423">
              <w:rPr>
                <w:rFonts w:asciiTheme="majorBidi" w:hAnsiTheme="majorBidi" w:cstheme="majorBidi"/>
                <w:lang w:val="en-GB"/>
              </w:rPr>
              <w:t>2018</w:t>
            </w:r>
            <w:r w:rsidR="008F580F">
              <w:rPr>
                <w:rFonts w:asciiTheme="majorBidi" w:hAnsiTheme="majorBidi" w:cstheme="majorBidi"/>
                <w:lang w:val="en-GB"/>
              </w:rPr>
              <w:t>)</w:t>
            </w:r>
            <w:r w:rsidRPr="00126423">
              <w:rPr>
                <w:rFonts w:asciiTheme="majorBidi" w:hAnsiTheme="majorBidi" w:cstheme="majorBidi"/>
                <w:lang w:val="en-GB"/>
              </w:rPr>
              <w:t>; R</w:t>
            </w:r>
            <w:r>
              <w:rPr>
                <w:rFonts w:asciiTheme="majorBidi" w:hAnsiTheme="majorBidi" w:cstheme="majorBidi"/>
                <w:lang w:val="en-GB"/>
              </w:rPr>
              <w:t>oss</w:t>
            </w:r>
            <w:r w:rsidRPr="00126423">
              <w:rPr>
                <w:rFonts w:asciiTheme="majorBidi" w:hAnsiTheme="majorBidi" w:cstheme="majorBidi"/>
                <w:lang w:val="en-GB"/>
              </w:rPr>
              <w:t xml:space="preserve"> </w:t>
            </w:r>
            <w:r w:rsidR="008F580F">
              <w:rPr>
                <w:rFonts w:asciiTheme="majorBidi" w:hAnsiTheme="majorBidi" w:cstheme="majorBidi"/>
                <w:lang w:val="en-GB"/>
              </w:rPr>
              <w:t>(</w:t>
            </w:r>
            <w:r w:rsidRPr="00126423">
              <w:rPr>
                <w:rFonts w:asciiTheme="majorBidi" w:hAnsiTheme="majorBidi" w:cstheme="majorBidi"/>
                <w:lang w:val="en-GB"/>
              </w:rPr>
              <w:t>2019</w:t>
            </w:r>
            <w:r w:rsidR="008F580F">
              <w:rPr>
                <w:rFonts w:asciiTheme="majorBidi" w:hAnsiTheme="majorBidi" w:cstheme="majorBidi"/>
                <w:lang w:val="en-GB"/>
              </w:rPr>
              <w:t>)</w:t>
            </w:r>
          </w:p>
        </w:tc>
      </w:tr>
      <w:tr w:rsidR="009A13BB" w:rsidRPr="006510A9" w14:paraId="0AC67037" w14:textId="77777777" w:rsidTr="00280E77">
        <w:tc>
          <w:tcPr>
            <w:tcW w:w="0" w:type="auto"/>
            <w:hideMark/>
          </w:tcPr>
          <w:p w14:paraId="059B4C2F"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3</w:t>
            </w:r>
          </w:p>
        </w:tc>
        <w:tc>
          <w:tcPr>
            <w:tcW w:w="0" w:type="auto"/>
            <w:hideMark/>
          </w:tcPr>
          <w:p w14:paraId="31C650E3"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Borrowing Costs</w:t>
            </w:r>
          </w:p>
        </w:tc>
        <w:tc>
          <w:tcPr>
            <w:tcW w:w="0" w:type="auto"/>
            <w:hideMark/>
          </w:tcPr>
          <w:p w14:paraId="2019D594"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Capitalized; Expensed</w:t>
            </w:r>
          </w:p>
        </w:tc>
        <w:tc>
          <w:tcPr>
            <w:tcW w:w="0" w:type="auto"/>
            <w:hideMark/>
          </w:tcPr>
          <w:p w14:paraId="1A2362B0"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Follows IAS 23 guidelines for capitalization of costs related to qualifying assets; includes alternatives such as not disclosed and not applicable.</w:t>
            </w:r>
          </w:p>
        </w:tc>
        <w:tc>
          <w:tcPr>
            <w:tcW w:w="0" w:type="auto"/>
            <w:hideMark/>
          </w:tcPr>
          <w:p w14:paraId="5A8DBE32"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IAS 23</w:t>
            </w:r>
          </w:p>
        </w:tc>
      </w:tr>
      <w:tr w:rsidR="009A13BB" w:rsidRPr="006510A9" w14:paraId="5CCA6BE0" w14:textId="77777777" w:rsidTr="00280E77">
        <w:tc>
          <w:tcPr>
            <w:tcW w:w="0" w:type="auto"/>
            <w:hideMark/>
          </w:tcPr>
          <w:p w14:paraId="79CB9E9B"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lastRenderedPageBreak/>
              <w:t>4</w:t>
            </w:r>
          </w:p>
        </w:tc>
        <w:tc>
          <w:tcPr>
            <w:tcW w:w="0" w:type="auto"/>
            <w:hideMark/>
          </w:tcPr>
          <w:p w14:paraId="13909C18"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Property, Plant &amp; Equipment (PPE)</w:t>
            </w:r>
          </w:p>
        </w:tc>
        <w:tc>
          <w:tcPr>
            <w:tcW w:w="0" w:type="auto"/>
            <w:hideMark/>
          </w:tcPr>
          <w:p w14:paraId="2DC0FAE5"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Cost Method; Revaluation Model (Fair Value)</w:t>
            </w:r>
          </w:p>
        </w:tc>
        <w:tc>
          <w:tcPr>
            <w:tcW w:w="0" w:type="auto"/>
            <w:hideMark/>
          </w:tcPr>
          <w:p w14:paraId="5F65E32E"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Cost method for initial recognition, with subsequent measurement options including revaluation; alternatives include not disclosed and not applicable.</w:t>
            </w:r>
          </w:p>
        </w:tc>
        <w:tc>
          <w:tcPr>
            <w:tcW w:w="0" w:type="auto"/>
            <w:hideMark/>
          </w:tcPr>
          <w:p w14:paraId="62C93A32"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IAS 16</w:t>
            </w:r>
          </w:p>
        </w:tc>
      </w:tr>
      <w:tr w:rsidR="009A13BB" w:rsidRPr="006510A9" w14:paraId="16FD0463" w14:textId="77777777" w:rsidTr="00280E77">
        <w:tc>
          <w:tcPr>
            <w:tcW w:w="0" w:type="auto"/>
            <w:hideMark/>
          </w:tcPr>
          <w:p w14:paraId="5C9956CD"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bookmarkStart w:id="3" w:name="_Hlk161924485"/>
            <w:r w:rsidRPr="00126423">
              <w:rPr>
                <w:rFonts w:asciiTheme="majorBidi" w:hAnsiTheme="majorBidi" w:cstheme="majorBidi"/>
                <w:lang w:val="en-GB"/>
              </w:rPr>
              <w:t>5</w:t>
            </w:r>
          </w:p>
        </w:tc>
        <w:tc>
          <w:tcPr>
            <w:tcW w:w="0" w:type="auto"/>
            <w:hideMark/>
          </w:tcPr>
          <w:p w14:paraId="01A3DBEE"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Depreciation</w:t>
            </w:r>
          </w:p>
        </w:tc>
        <w:tc>
          <w:tcPr>
            <w:tcW w:w="0" w:type="auto"/>
            <w:hideMark/>
          </w:tcPr>
          <w:p w14:paraId="0638EAB1"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Straight-Line; Declining Balance; Units of Production; Mixed Methods</w:t>
            </w:r>
          </w:p>
        </w:tc>
        <w:tc>
          <w:tcPr>
            <w:tcW w:w="0" w:type="auto"/>
            <w:hideMark/>
          </w:tcPr>
          <w:p w14:paraId="509048BD"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Selection based on asset's operational life and pattern of use; also considers options like not disclosed and not applicable.</w:t>
            </w:r>
          </w:p>
        </w:tc>
        <w:tc>
          <w:tcPr>
            <w:tcW w:w="0" w:type="auto"/>
            <w:hideMark/>
          </w:tcPr>
          <w:p w14:paraId="4A436817"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p>
        </w:tc>
      </w:tr>
      <w:tr w:rsidR="009A13BB" w:rsidRPr="006510A9" w14:paraId="6ED24089" w14:textId="77777777" w:rsidTr="00280E77">
        <w:tc>
          <w:tcPr>
            <w:tcW w:w="0" w:type="auto"/>
            <w:hideMark/>
          </w:tcPr>
          <w:p w14:paraId="039E0F21"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6</w:t>
            </w:r>
          </w:p>
        </w:tc>
        <w:tc>
          <w:tcPr>
            <w:tcW w:w="0" w:type="auto"/>
            <w:hideMark/>
          </w:tcPr>
          <w:p w14:paraId="61B70B33"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Foreign Currency Translation Rate</w:t>
            </w:r>
          </w:p>
        </w:tc>
        <w:tc>
          <w:tcPr>
            <w:tcW w:w="0" w:type="auto"/>
            <w:hideMark/>
          </w:tcPr>
          <w:p w14:paraId="463595CB"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Current Exchange Rate; Average Rate; Other Rates</w:t>
            </w:r>
          </w:p>
        </w:tc>
        <w:tc>
          <w:tcPr>
            <w:tcW w:w="0" w:type="auto"/>
            <w:hideMark/>
          </w:tcPr>
          <w:p w14:paraId="10C066AA"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Includes methods outside the current and average rate, with options for not disclosed and not applicable cases.</w:t>
            </w:r>
          </w:p>
        </w:tc>
        <w:tc>
          <w:tcPr>
            <w:tcW w:w="0" w:type="auto"/>
            <w:hideMark/>
          </w:tcPr>
          <w:p w14:paraId="402F3A09"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p>
        </w:tc>
      </w:tr>
      <w:tr w:rsidR="009A13BB" w:rsidRPr="006510A9" w14:paraId="40BD95ED" w14:textId="77777777" w:rsidTr="00280E77">
        <w:tc>
          <w:tcPr>
            <w:tcW w:w="0" w:type="auto"/>
            <w:hideMark/>
          </w:tcPr>
          <w:p w14:paraId="1302BCBC"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7</w:t>
            </w:r>
          </w:p>
        </w:tc>
        <w:tc>
          <w:tcPr>
            <w:tcW w:w="0" w:type="auto"/>
            <w:hideMark/>
          </w:tcPr>
          <w:p w14:paraId="6B0F409A"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Investment Property</w:t>
            </w:r>
          </w:p>
        </w:tc>
        <w:tc>
          <w:tcPr>
            <w:tcW w:w="0" w:type="auto"/>
            <w:hideMark/>
          </w:tcPr>
          <w:p w14:paraId="432E38A6"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Cost Model; Revaluation Model</w:t>
            </w:r>
          </w:p>
        </w:tc>
        <w:tc>
          <w:tcPr>
            <w:tcW w:w="0" w:type="auto"/>
            <w:hideMark/>
          </w:tcPr>
          <w:p w14:paraId="5F4016F0" w14:textId="77777777"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Involves evaluation based on cost or fair value post-initial recognition; includes alternatives such as not disclosed and not applicable.</w:t>
            </w:r>
          </w:p>
        </w:tc>
        <w:tc>
          <w:tcPr>
            <w:tcW w:w="0" w:type="auto"/>
            <w:hideMark/>
          </w:tcPr>
          <w:p w14:paraId="38BCDED6" w14:textId="5516EC21" w:rsidR="009A13BB" w:rsidRPr="00126423" w:rsidRDefault="009A13BB" w:rsidP="00280E77">
            <w:pPr>
              <w:autoSpaceDE w:val="0"/>
              <w:autoSpaceDN w:val="0"/>
              <w:bidi w:val="0"/>
              <w:adjustRightInd w:val="0"/>
              <w:spacing w:after="0" w:line="240" w:lineRule="auto"/>
              <w:jc w:val="both"/>
              <w:rPr>
                <w:rFonts w:asciiTheme="majorBidi" w:hAnsiTheme="majorBidi" w:cstheme="majorBidi"/>
                <w:lang w:val="en-GB"/>
              </w:rPr>
            </w:pPr>
            <w:r w:rsidRPr="00126423">
              <w:rPr>
                <w:rFonts w:asciiTheme="majorBidi" w:hAnsiTheme="majorBidi" w:cstheme="majorBidi"/>
                <w:lang w:val="en-GB"/>
              </w:rPr>
              <w:t xml:space="preserve">CHEN </w:t>
            </w:r>
            <w:r w:rsidR="008F580F">
              <w:rPr>
                <w:rFonts w:asciiTheme="majorBidi" w:hAnsiTheme="majorBidi" w:cstheme="majorBidi"/>
                <w:lang w:val="en-GB"/>
              </w:rPr>
              <w:t>(</w:t>
            </w:r>
            <w:r w:rsidRPr="00126423">
              <w:rPr>
                <w:rFonts w:asciiTheme="majorBidi" w:hAnsiTheme="majorBidi" w:cstheme="majorBidi"/>
                <w:lang w:val="en-GB"/>
              </w:rPr>
              <w:t>2018</w:t>
            </w:r>
            <w:r w:rsidR="008F580F">
              <w:rPr>
                <w:rFonts w:asciiTheme="majorBidi" w:hAnsiTheme="majorBidi" w:cstheme="majorBidi"/>
                <w:lang w:val="en-GB"/>
              </w:rPr>
              <w:t>)</w:t>
            </w:r>
          </w:p>
        </w:tc>
      </w:tr>
      <w:bookmarkEnd w:id="3"/>
    </w:tbl>
    <w:p w14:paraId="442D8B4D" w14:textId="77777777" w:rsidR="009A13BB" w:rsidRPr="00126423" w:rsidRDefault="009A13BB" w:rsidP="009A13BB">
      <w:pPr>
        <w:autoSpaceDE w:val="0"/>
        <w:autoSpaceDN w:val="0"/>
        <w:bidi w:val="0"/>
        <w:adjustRightInd w:val="0"/>
        <w:spacing w:after="0" w:line="240" w:lineRule="auto"/>
        <w:jc w:val="both"/>
        <w:rPr>
          <w:rFonts w:asciiTheme="majorBidi" w:hAnsiTheme="majorBidi" w:cstheme="majorBidi"/>
          <w:lang w:val="en-GB"/>
        </w:rPr>
      </w:pPr>
    </w:p>
    <w:p w14:paraId="42C04154" w14:textId="77777777" w:rsidR="00CE7E5B" w:rsidRDefault="00CE7E5B" w:rsidP="009A13BB">
      <w:pPr>
        <w:autoSpaceDE w:val="0"/>
        <w:autoSpaceDN w:val="0"/>
        <w:bidi w:val="0"/>
        <w:adjustRightInd w:val="0"/>
        <w:spacing w:after="0" w:line="240" w:lineRule="auto"/>
        <w:jc w:val="both"/>
        <w:rPr>
          <w:rFonts w:asciiTheme="majorBidi" w:hAnsiTheme="majorBidi" w:cstheme="majorBidi"/>
          <w:b/>
          <w:bCs/>
        </w:rPr>
      </w:pPr>
    </w:p>
    <w:p w14:paraId="2245D986" w14:textId="1E83D648" w:rsidR="009A13BB" w:rsidRDefault="009A13BB" w:rsidP="00CE7E5B">
      <w:pPr>
        <w:autoSpaceDE w:val="0"/>
        <w:autoSpaceDN w:val="0"/>
        <w:bidi w:val="0"/>
        <w:adjustRightInd w:val="0"/>
        <w:spacing w:after="0" w:line="240" w:lineRule="auto"/>
        <w:jc w:val="both"/>
        <w:rPr>
          <w:rFonts w:asciiTheme="majorBidi" w:hAnsiTheme="majorBidi" w:cstheme="majorBidi"/>
          <w:b/>
          <w:bCs/>
        </w:rPr>
      </w:pPr>
      <w:r w:rsidRPr="00126423">
        <w:rPr>
          <w:rFonts w:asciiTheme="majorBidi" w:hAnsiTheme="majorBidi" w:cstheme="majorBidi"/>
          <w:b/>
          <w:bCs/>
        </w:rPr>
        <w:t>Results:</w:t>
      </w:r>
    </w:p>
    <w:p w14:paraId="66830828" w14:textId="77777777" w:rsidR="00C158A8" w:rsidRDefault="00C158A8" w:rsidP="00C158A8">
      <w:pPr>
        <w:autoSpaceDE w:val="0"/>
        <w:autoSpaceDN w:val="0"/>
        <w:bidi w:val="0"/>
        <w:adjustRightInd w:val="0"/>
        <w:spacing w:after="0" w:line="240" w:lineRule="auto"/>
        <w:jc w:val="both"/>
        <w:rPr>
          <w:rFonts w:asciiTheme="majorBidi" w:hAnsiTheme="majorBidi" w:cstheme="majorBidi"/>
          <w:b/>
          <w:bCs/>
        </w:rPr>
      </w:pPr>
    </w:p>
    <w:p w14:paraId="07B53FF6" w14:textId="2ED19BF1" w:rsidR="00C158A8" w:rsidRPr="00126423" w:rsidRDefault="00976949" w:rsidP="00C158A8">
      <w:pPr>
        <w:bidi w:val="0"/>
        <w:spacing w:line="360" w:lineRule="auto"/>
        <w:jc w:val="both"/>
        <w:rPr>
          <w:rFonts w:asciiTheme="majorBidi" w:hAnsiTheme="majorBidi" w:cstheme="majorBidi"/>
          <w:b/>
          <w:bCs/>
          <w:i/>
          <w:iCs/>
          <w:lang w:val="en-GB"/>
        </w:rPr>
      </w:pPr>
      <w:r>
        <w:rPr>
          <w:rFonts w:asciiTheme="majorBidi" w:hAnsiTheme="majorBidi" w:cstheme="majorBidi"/>
        </w:rPr>
        <w:t>This s</w:t>
      </w:r>
      <w:r w:rsidR="00CE7E5B">
        <w:rPr>
          <w:rFonts w:asciiTheme="majorBidi" w:hAnsiTheme="majorBidi" w:cstheme="majorBidi"/>
        </w:rPr>
        <w:t xml:space="preserve">ection presents and </w:t>
      </w:r>
      <w:proofErr w:type="spellStart"/>
      <w:r w:rsidR="00CE7E5B">
        <w:rPr>
          <w:rFonts w:asciiTheme="majorBidi" w:hAnsiTheme="majorBidi" w:cstheme="majorBidi"/>
        </w:rPr>
        <w:t>discuses</w:t>
      </w:r>
      <w:proofErr w:type="spellEnd"/>
      <w:r w:rsidR="00CE7E5B">
        <w:rPr>
          <w:rFonts w:asciiTheme="majorBidi" w:hAnsiTheme="majorBidi" w:cstheme="majorBidi"/>
        </w:rPr>
        <w:t xml:space="preserve"> the results </w:t>
      </w:r>
      <w:r>
        <w:rPr>
          <w:rFonts w:asciiTheme="majorBidi" w:hAnsiTheme="majorBidi" w:cstheme="majorBidi"/>
        </w:rPr>
        <w:t>revealed in the</w:t>
      </w:r>
      <w:r w:rsidR="00CE7E5B">
        <w:rPr>
          <w:rFonts w:asciiTheme="majorBidi" w:hAnsiTheme="majorBidi" w:cstheme="majorBidi"/>
        </w:rPr>
        <w:t xml:space="preserve"> current research </w:t>
      </w:r>
      <w:r w:rsidR="00C158A8">
        <w:rPr>
          <w:rFonts w:asciiTheme="majorBidi" w:hAnsiTheme="majorBidi" w:cstheme="majorBidi"/>
        </w:rPr>
        <w:t xml:space="preserve">categorized around: </w:t>
      </w:r>
      <w:r w:rsidR="00C158A8" w:rsidRPr="00C158A8">
        <w:rPr>
          <w:rFonts w:asciiTheme="majorBidi" w:hAnsiTheme="majorBidi" w:cstheme="majorBidi"/>
        </w:rPr>
        <w:t>(</w:t>
      </w:r>
      <w:proofErr w:type="spellStart"/>
      <w:r w:rsidR="00C158A8" w:rsidRPr="00C158A8">
        <w:rPr>
          <w:rFonts w:asciiTheme="majorBidi" w:hAnsiTheme="majorBidi" w:cstheme="majorBidi"/>
        </w:rPr>
        <w:t>i</w:t>
      </w:r>
      <w:proofErr w:type="spellEnd"/>
      <w:r w:rsidR="00C158A8" w:rsidRPr="00C158A8">
        <w:rPr>
          <w:rFonts w:asciiTheme="majorBidi" w:hAnsiTheme="majorBidi" w:cstheme="majorBidi"/>
        </w:rPr>
        <w:t xml:space="preserve">) harmonization on national level; (ii) international harmonization across countries, and (iii) </w:t>
      </w:r>
      <w:r w:rsidR="00C158A8" w:rsidRPr="00C158A8">
        <w:rPr>
          <w:rFonts w:asciiTheme="majorBidi" w:hAnsiTheme="majorBidi" w:cstheme="majorBidi"/>
          <w:lang w:val="en-GB"/>
        </w:rPr>
        <w:t>differences between IFRS and local standards adopters</w:t>
      </w:r>
      <w:r w:rsidR="00C158A8">
        <w:rPr>
          <w:rFonts w:asciiTheme="majorBidi" w:hAnsiTheme="majorBidi" w:cstheme="majorBidi"/>
          <w:lang w:val="en-GB"/>
        </w:rPr>
        <w:t>.</w:t>
      </w:r>
    </w:p>
    <w:p w14:paraId="267F5CE7" w14:textId="77777777" w:rsidR="00CE7E5B" w:rsidRPr="00126423" w:rsidRDefault="00CE7E5B" w:rsidP="00CE7E5B">
      <w:pPr>
        <w:autoSpaceDE w:val="0"/>
        <w:autoSpaceDN w:val="0"/>
        <w:bidi w:val="0"/>
        <w:adjustRightInd w:val="0"/>
        <w:spacing w:after="0" w:line="240" w:lineRule="auto"/>
        <w:jc w:val="both"/>
        <w:rPr>
          <w:rFonts w:asciiTheme="majorBidi" w:hAnsiTheme="majorBidi" w:cstheme="majorBidi"/>
          <w:b/>
          <w:bCs/>
        </w:rPr>
      </w:pPr>
    </w:p>
    <w:p w14:paraId="6CB6A745" w14:textId="02BAC5E6" w:rsidR="009A13BB" w:rsidRDefault="009A13BB" w:rsidP="00C158A8">
      <w:pPr>
        <w:pStyle w:val="ListParagraph"/>
        <w:numPr>
          <w:ilvl w:val="0"/>
          <w:numId w:val="35"/>
        </w:numPr>
        <w:bidi w:val="0"/>
        <w:spacing w:after="0" w:line="240" w:lineRule="auto"/>
        <w:jc w:val="both"/>
        <w:rPr>
          <w:rFonts w:asciiTheme="majorBidi" w:eastAsia="Times New Roman" w:hAnsiTheme="majorBidi" w:cstheme="majorBidi"/>
          <w:b/>
          <w:bCs/>
          <w:i/>
          <w:iCs/>
        </w:rPr>
      </w:pPr>
      <w:bookmarkStart w:id="4" w:name="_Hlk161925521"/>
      <w:r w:rsidRPr="00B80810">
        <w:rPr>
          <w:rFonts w:asciiTheme="majorBidi" w:eastAsia="Times New Roman" w:hAnsiTheme="majorBidi" w:cstheme="majorBidi"/>
          <w:b/>
          <w:bCs/>
          <w:i/>
          <w:iCs/>
        </w:rPr>
        <w:t>Harmonization on national level</w:t>
      </w:r>
    </w:p>
    <w:p w14:paraId="45FD5424" w14:textId="77777777" w:rsidR="00B80810" w:rsidRPr="00B80810" w:rsidRDefault="00B80810" w:rsidP="00B80810">
      <w:pPr>
        <w:pStyle w:val="ListParagraph"/>
        <w:bidi w:val="0"/>
        <w:spacing w:after="0" w:line="240" w:lineRule="auto"/>
        <w:ind w:left="1080"/>
        <w:jc w:val="both"/>
        <w:rPr>
          <w:rFonts w:asciiTheme="majorBidi" w:eastAsia="Times New Roman" w:hAnsiTheme="majorBidi" w:cstheme="majorBidi"/>
          <w:b/>
          <w:bCs/>
          <w:i/>
          <w:iCs/>
        </w:rPr>
      </w:pPr>
    </w:p>
    <w:bookmarkEnd w:id="4"/>
    <w:p w14:paraId="363BE7BF" w14:textId="77777777" w:rsidR="009A13BB" w:rsidRPr="00126423" w:rsidRDefault="009A13BB" w:rsidP="009A13BB">
      <w:pPr>
        <w:bidi w:val="0"/>
        <w:spacing w:line="240" w:lineRule="auto"/>
        <w:jc w:val="both"/>
        <w:rPr>
          <w:rFonts w:asciiTheme="majorBidi" w:hAnsiTheme="majorBidi" w:cstheme="majorBidi"/>
        </w:rPr>
      </w:pPr>
      <w:r w:rsidRPr="00126423">
        <w:rPr>
          <w:rFonts w:asciiTheme="majorBidi" w:hAnsiTheme="majorBidi" w:cstheme="majorBidi"/>
        </w:rPr>
        <w:t>As mentioned earlier, C-index is used to measure accounting harmonization between companies of the same country.  Results of C Index are presented in Table 2.</w:t>
      </w:r>
    </w:p>
    <w:p w14:paraId="45BEB8A0" w14:textId="77777777" w:rsidR="009A13BB" w:rsidRPr="00126423" w:rsidRDefault="009A13BB" w:rsidP="009A13BB">
      <w:pPr>
        <w:bidi w:val="0"/>
        <w:spacing w:after="160" w:line="240" w:lineRule="auto"/>
        <w:rPr>
          <w:rFonts w:asciiTheme="majorBidi" w:hAnsiTheme="majorBidi" w:cstheme="majorBidi"/>
          <w:b/>
          <w:bCs/>
        </w:rPr>
      </w:pPr>
      <w:r w:rsidRPr="006510A9">
        <w:rPr>
          <w:rFonts w:asciiTheme="majorBidi" w:hAnsiTheme="majorBidi" w:cstheme="majorBidi"/>
          <w:b/>
          <w:bCs/>
        </w:rPr>
        <w:t>Table2: C-Index Values Across Accounting Measures and Countries</w:t>
      </w:r>
    </w:p>
    <w:tbl>
      <w:tblPr>
        <w:tblStyle w:val="TableGrid"/>
        <w:tblW w:w="0" w:type="auto"/>
        <w:tblLook w:val="04A0" w:firstRow="1" w:lastRow="0" w:firstColumn="1" w:lastColumn="0" w:noHBand="0" w:noVBand="1"/>
      </w:tblPr>
      <w:tblGrid>
        <w:gridCol w:w="2097"/>
        <w:gridCol w:w="858"/>
        <w:gridCol w:w="753"/>
        <w:gridCol w:w="1161"/>
        <w:gridCol w:w="777"/>
        <w:gridCol w:w="882"/>
        <w:gridCol w:w="753"/>
        <w:gridCol w:w="1021"/>
      </w:tblGrid>
      <w:tr w:rsidR="009A13BB" w:rsidRPr="006510A9" w14:paraId="5C4A6D09" w14:textId="77777777" w:rsidTr="00280E77">
        <w:tc>
          <w:tcPr>
            <w:tcW w:w="0" w:type="auto"/>
            <w:hideMark/>
          </w:tcPr>
          <w:p w14:paraId="40BDB10F"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proofErr w:type="spellStart"/>
            <w:r w:rsidRPr="00126423">
              <w:rPr>
                <w:rFonts w:asciiTheme="majorBidi" w:eastAsia="Times New Roman" w:hAnsiTheme="majorBidi" w:cstheme="majorBidi"/>
                <w:b/>
                <w:bCs/>
                <w:color w:val="0D0D0D"/>
                <w:sz w:val="21"/>
                <w:szCs w:val="21"/>
                <w:lang w:eastAsia="en-GB"/>
              </w:rPr>
              <w:t>Accounting</w:t>
            </w:r>
            <w:proofErr w:type="spellEnd"/>
            <w:r w:rsidRPr="00126423">
              <w:rPr>
                <w:rFonts w:asciiTheme="majorBidi" w:eastAsia="Times New Roman" w:hAnsiTheme="majorBidi" w:cstheme="majorBidi"/>
                <w:b/>
                <w:bCs/>
                <w:color w:val="0D0D0D"/>
                <w:sz w:val="21"/>
                <w:szCs w:val="21"/>
                <w:lang w:eastAsia="en-GB"/>
              </w:rPr>
              <w:t xml:space="preserve"> </w:t>
            </w:r>
            <w:proofErr w:type="spellStart"/>
            <w:r w:rsidRPr="00126423">
              <w:rPr>
                <w:rFonts w:asciiTheme="majorBidi" w:eastAsia="Times New Roman" w:hAnsiTheme="majorBidi" w:cstheme="majorBidi"/>
                <w:b/>
                <w:bCs/>
                <w:color w:val="0D0D0D"/>
                <w:sz w:val="21"/>
                <w:szCs w:val="21"/>
                <w:lang w:eastAsia="en-GB"/>
              </w:rPr>
              <w:t>Measure</w:t>
            </w:r>
            <w:proofErr w:type="spellEnd"/>
          </w:p>
        </w:tc>
        <w:tc>
          <w:tcPr>
            <w:tcW w:w="0" w:type="auto"/>
            <w:hideMark/>
          </w:tcPr>
          <w:p w14:paraId="483E6B9C"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proofErr w:type="spellStart"/>
            <w:r w:rsidRPr="00126423">
              <w:rPr>
                <w:rFonts w:asciiTheme="majorBidi" w:eastAsia="Times New Roman" w:hAnsiTheme="majorBidi" w:cstheme="majorBidi"/>
                <w:b/>
                <w:bCs/>
                <w:color w:val="0D0D0D"/>
                <w:sz w:val="21"/>
                <w:szCs w:val="21"/>
                <w:lang w:eastAsia="en-GB"/>
              </w:rPr>
              <w:t>Jordan</w:t>
            </w:r>
            <w:proofErr w:type="spellEnd"/>
          </w:p>
        </w:tc>
        <w:tc>
          <w:tcPr>
            <w:tcW w:w="0" w:type="auto"/>
            <w:hideMark/>
          </w:tcPr>
          <w:p w14:paraId="1DB30D60"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proofErr w:type="spellStart"/>
            <w:r w:rsidRPr="00126423">
              <w:rPr>
                <w:rFonts w:asciiTheme="majorBidi" w:eastAsia="Times New Roman" w:hAnsiTheme="majorBidi" w:cstheme="majorBidi"/>
                <w:b/>
                <w:bCs/>
                <w:color w:val="0D0D0D"/>
                <w:sz w:val="21"/>
                <w:szCs w:val="21"/>
                <w:lang w:eastAsia="en-GB"/>
              </w:rPr>
              <w:t>Egypt</w:t>
            </w:r>
            <w:proofErr w:type="spellEnd"/>
          </w:p>
        </w:tc>
        <w:tc>
          <w:tcPr>
            <w:tcW w:w="0" w:type="auto"/>
            <w:hideMark/>
          </w:tcPr>
          <w:p w14:paraId="7914DD36"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proofErr w:type="spellStart"/>
            <w:r w:rsidRPr="00126423">
              <w:rPr>
                <w:rFonts w:asciiTheme="majorBidi" w:eastAsia="Times New Roman" w:hAnsiTheme="majorBidi" w:cstheme="majorBidi"/>
                <w:b/>
                <w:bCs/>
                <w:color w:val="0D0D0D"/>
                <w:sz w:val="21"/>
                <w:szCs w:val="21"/>
                <w:lang w:eastAsia="en-GB"/>
              </w:rPr>
              <w:t>Saudi</w:t>
            </w:r>
            <w:proofErr w:type="spellEnd"/>
            <w:r w:rsidRPr="00126423">
              <w:rPr>
                <w:rFonts w:asciiTheme="majorBidi" w:eastAsia="Times New Roman" w:hAnsiTheme="majorBidi" w:cstheme="majorBidi"/>
                <w:b/>
                <w:bCs/>
                <w:color w:val="0D0D0D"/>
                <w:sz w:val="21"/>
                <w:szCs w:val="21"/>
                <w:lang w:eastAsia="en-GB"/>
              </w:rPr>
              <w:t xml:space="preserve"> Arabia</w:t>
            </w:r>
          </w:p>
        </w:tc>
        <w:tc>
          <w:tcPr>
            <w:tcW w:w="0" w:type="auto"/>
            <w:hideMark/>
          </w:tcPr>
          <w:p w14:paraId="30774971"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proofErr w:type="spellStart"/>
            <w:r w:rsidRPr="00126423">
              <w:rPr>
                <w:rFonts w:asciiTheme="majorBidi" w:eastAsia="Times New Roman" w:hAnsiTheme="majorBidi" w:cstheme="majorBidi"/>
                <w:b/>
                <w:bCs/>
                <w:color w:val="0D0D0D"/>
                <w:sz w:val="21"/>
                <w:szCs w:val="21"/>
                <w:lang w:eastAsia="en-GB"/>
              </w:rPr>
              <w:t>Oman</w:t>
            </w:r>
            <w:proofErr w:type="spellEnd"/>
          </w:p>
        </w:tc>
        <w:tc>
          <w:tcPr>
            <w:tcW w:w="0" w:type="auto"/>
            <w:hideMark/>
          </w:tcPr>
          <w:p w14:paraId="6B495262"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r w:rsidRPr="00126423">
              <w:rPr>
                <w:rFonts w:asciiTheme="majorBidi" w:eastAsia="Times New Roman" w:hAnsiTheme="majorBidi" w:cstheme="majorBidi"/>
                <w:b/>
                <w:bCs/>
                <w:color w:val="0D0D0D"/>
                <w:sz w:val="21"/>
                <w:szCs w:val="21"/>
                <w:lang w:eastAsia="en-GB"/>
              </w:rPr>
              <w:t>Kuwait</w:t>
            </w:r>
          </w:p>
        </w:tc>
        <w:tc>
          <w:tcPr>
            <w:tcW w:w="0" w:type="auto"/>
            <w:hideMark/>
          </w:tcPr>
          <w:p w14:paraId="76EA6DBD"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r w:rsidRPr="00126423">
              <w:rPr>
                <w:rFonts w:asciiTheme="majorBidi" w:eastAsia="Times New Roman" w:hAnsiTheme="majorBidi" w:cstheme="majorBidi"/>
                <w:b/>
                <w:bCs/>
                <w:color w:val="0D0D0D"/>
                <w:sz w:val="21"/>
                <w:szCs w:val="21"/>
                <w:lang w:eastAsia="en-GB"/>
              </w:rPr>
              <w:t>Qatar</w:t>
            </w:r>
          </w:p>
        </w:tc>
        <w:tc>
          <w:tcPr>
            <w:tcW w:w="0" w:type="auto"/>
            <w:hideMark/>
          </w:tcPr>
          <w:p w14:paraId="1A80DA7B" w14:textId="77777777" w:rsidR="009A13BB" w:rsidRPr="00126423" w:rsidRDefault="009A13BB" w:rsidP="00280E77">
            <w:pPr>
              <w:bidi w:val="0"/>
              <w:spacing w:after="0" w:line="240" w:lineRule="auto"/>
              <w:jc w:val="center"/>
              <w:rPr>
                <w:rFonts w:asciiTheme="majorBidi" w:eastAsia="Times New Roman" w:hAnsiTheme="majorBidi" w:cstheme="majorBidi"/>
                <w:b/>
                <w:bCs/>
                <w:color w:val="0D0D0D"/>
                <w:kern w:val="0"/>
                <w:sz w:val="21"/>
                <w:szCs w:val="21"/>
                <w:lang w:eastAsia="en-GB"/>
              </w:rPr>
            </w:pPr>
            <w:r w:rsidRPr="00126423">
              <w:rPr>
                <w:rFonts w:asciiTheme="majorBidi" w:eastAsia="Times New Roman" w:hAnsiTheme="majorBidi" w:cstheme="majorBidi"/>
                <w:b/>
                <w:bCs/>
                <w:color w:val="0D0D0D"/>
                <w:sz w:val="21"/>
                <w:szCs w:val="21"/>
                <w:lang w:eastAsia="en-GB"/>
              </w:rPr>
              <w:t>Palestine</w:t>
            </w:r>
          </w:p>
        </w:tc>
      </w:tr>
      <w:tr w:rsidR="009A13BB" w:rsidRPr="006510A9" w14:paraId="458A92F0" w14:textId="77777777" w:rsidTr="00280E77">
        <w:tc>
          <w:tcPr>
            <w:tcW w:w="0" w:type="auto"/>
            <w:hideMark/>
          </w:tcPr>
          <w:p w14:paraId="2E45CFA2"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Inventory</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Valuation</w:t>
            </w:r>
            <w:proofErr w:type="spellEnd"/>
          </w:p>
        </w:tc>
        <w:tc>
          <w:tcPr>
            <w:tcW w:w="0" w:type="auto"/>
            <w:hideMark/>
          </w:tcPr>
          <w:p w14:paraId="473B39C4"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0.66</w:t>
            </w:r>
          </w:p>
        </w:tc>
        <w:tc>
          <w:tcPr>
            <w:tcW w:w="0" w:type="auto"/>
            <w:hideMark/>
          </w:tcPr>
          <w:p w14:paraId="4623EBB8"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0.73</w:t>
            </w:r>
          </w:p>
        </w:tc>
        <w:tc>
          <w:tcPr>
            <w:tcW w:w="0" w:type="auto"/>
            <w:hideMark/>
          </w:tcPr>
          <w:p w14:paraId="6B16D1AD"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0.86</w:t>
            </w:r>
          </w:p>
        </w:tc>
        <w:tc>
          <w:tcPr>
            <w:tcW w:w="0" w:type="auto"/>
            <w:hideMark/>
          </w:tcPr>
          <w:p w14:paraId="6576BFE6"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17ACC3A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59DBBDFB"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5E1422DE"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0.58</w:t>
            </w:r>
          </w:p>
        </w:tc>
      </w:tr>
      <w:tr w:rsidR="009A13BB" w:rsidRPr="006510A9" w14:paraId="22A5B5B6" w14:textId="77777777" w:rsidTr="00280E77">
        <w:tc>
          <w:tcPr>
            <w:tcW w:w="0" w:type="auto"/>
            <w:hideMark/>
          </w:tcPr>
          <w:p w14:paraId="7033D76D"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Inventory</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Costing</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Method</w:t>
            </w:r>
            <w:proofErr w:type="spellEnd"/>
          </w:p>
        </w:tc>
        <w:tc>
          <w:tcPr>
            <w:tcW w:w="0" w:type="auto"/>
            <w:hideMark/>
          </w:tcPr>
          <w:p w14:paraId="0FDC736D"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0.34</w:t>
            </w:r>
          </w:p>
        </w:tc>
        <w:tc>
          <w:tcPr>
            <w:tcW w:w="0" w:type="auto"/>
            <w:hideMark/>
          </w:tcPr>
          <w:p w14:paraId="1744D5C5"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0.41</w:t>
            </w:r>
          </w:p>
        </w:tc>
        <w:tc>
          <w:tcPr>
            <w:tcW w:w="0" w:type="auto"/>
            <w:hideMark/>
          </w:tcPr>
          <w:p w14:paraId="46C9B0B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0.57</w:t>
            </w:r>
          </w:p>
        </w:tc>
        <w:tc>
          <w:tcPr>
            <w:tcW w:w="0" w:type="auto"/>
            <w:hideMark/>
          </w:tcPr>
          <w:p w14:paraId="428E627B"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0.62</w:t>
            </w:r>
          </w:p>
        </w:tc>
        <w:tc>
          <w:tcPr>
            <w:tcW w:w="0" w:type="auto"/>
            <w:hideMark/>
          </w:tcPr>
          <w:p w14:paraId="6B64F36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0.44</w:t>
            </w:r>
          </w:p>
        </w:tc>
        <w:tc>
          <w:tcPr>
            <w:tcW w:w="0" w:type="auto"/>
            <w:hideMark/>
          </w:tcPr>
          <w:p w14:paraId="1AD9C34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0.58</w:t>
            </w:r>
          </w:p>
        </w:tc>
        <w:tc>
          <w:tcPr>
            <w:tcW w:w="0" w:type="auto"/>
            <w:hideMark/>
          </w:tcPr>
          <w:p w14:paraId="2F24678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0.24</w:t>
            </w:r>
          </w:p>
        </w:tc>
      </w:tr>
      <w:tr w:rsidR="009A13BB" w:rsidRPr="006510A9" w14:paraId="13016806" w14:textId="77777777" w:rsidTr="00280E77">
        <w:tc>
          <w:tcPr>
            <w:tcW w:w="0" w:type="auto"/>
            <w:hideMark/>
          </w:tcPr>
          <w:p w14:paraId="4A38DC03"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Borrowing</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Costs</w:t>
            </w:r>
            <w:proofErr w:type="spellEnd"/>
          </w:p>
        </w:tc>
        <w:tc>
          <w:tcPr>
            <w:tcW w:w="0" w:type="auto"/>
            <w:hideMark/>
          </w:tcPr>
          <w:p w14:paraId="025D3137"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0.54</w:t>
            </w:r>
          </w:p>
        </w:tc>
        <w:tc>
          <w:tcPr>
            <w:tcW w:w="0" w:type="auto"/>
            <w:hideMark/>
          </w:tcPr>
          <w:p w14:paraId="4C35C174"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0.58</w:t>
            </w:r>
          </w:p>
        </w:tc>
        <w:tc>
          <w:tcPr>
            <w:tcW w:w="0" w:type="auto"/>
            <w:hideMark/>
          </w:tcPr>
          <w:p w14:paraId="454B5B0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0.71</w:t>
            </w:r>
          </w:p>
        </w:tc>
        <w:tc>
          <w:tcPr>
            <w:tcW w:w="0" w:type="auto"/>
            <w:hideMark/>
          </w:tcPr>
          <w:p w14:paraId="76EF1A5D"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0.55</w:t>
            </w:r>
          </w:p>
        </w:tc>
        <w:tc>
          <w:tcPr>
            <w:tcW w:w="0" w:type="auto"/>
            <w:hideMark/>
          </w:tcPr>
          <w:p w14:paraId="4DD35C4B"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0.66</w:t>
            </w:r>
          </w:p>
        </w:tc>
        <w:tc>
          <w:tcPr>
            <w:tcW w:w="0" w:type="auto"/>
            <w:hideMark/>
          </w:tcPr>
          <w:p w14:paraId="4088827C"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5002B5B3"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0.47</w:t>
            </w:r>
          </w:p>
        </w:tc>
      </w:tr>
      <w:tr w:rsidR="009A13BB" w:rsidRPr="006510A9" w14:paraId="5D64E708" w14:textId="77777777" w:rsidTr="00280E77">
        <w:tc>
          <w:tcPr>
            <w:tcW w:w="0" w:type="auto"/>
            <w:hideMark/>
          </w:tcPr>
          <w:p w14:paraId="38007969"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Property</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Plant</w:t>
            </w:r>
            <w:proofErr w:type="spellEnd"/>
            <w:r w:rsidRPr="00126423">
              <w:rPr>
                <w:rFonts w:asciiTheme="majorBidi" w:eastAsia="Times New Roman" w:hAnsiTheme="majorBidi" w:cstheme="majorBidi"/>
                <w:color w:val="0D0D0D"/>
                <w:sz w:val="21"/>
                <w:szCs w:val="21"/>
                <w:lang w:eastAsia="en-GB"/>
              </w:rPr>
              <w:t xml:space="preserve"> &amp; </w:t>
            </w:r>
            <w:proofErr w:type="spellStart"/>
            <w:r w:rsidRPr="00126423">
              <w:rPr>
                <w:rFonts w:asciiTheme="majorBidi" w:eastAsia="Times New Roman" w:hAnsiTheme="majorBidi" w:cstheme="majorBidi"/>
                <w:color w:val="0D0D0D"/>
                <w:sz w:val="21"/>
                <w:szCs w:val="21"/>
                <w:lang w:eastAsia="en-GB"/>
              </w:rPr>
              <w:t>Equipment</w:t>
            </w:r>
            <w:proofErr w:type="spellEnd"/>
          </w:p>
        </w:tc>
        <w:tc>
          <w:tcPr>
            <w:tcW w:w="0" w:type="auto"/>
            <w:hideMark/>
          </w:tcPr>
          <w:p w14:paraId="053E72B6"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47C3611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0.95</w:t>
            </w:r>
          </w:p>
        </w:tc>
        <w:tc>
          <w:tcPr>
            <w:tcW w:w="0" w:type="auto"/>
            <w:hideMark/>
          </w:tcPr>
          <w:p w14:paraId="2D71B429"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7E1950D2"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2C3E96E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782F02B0"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3E8708A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r>
      <w:tr w:rsidR="009A13BB" w:rsidRPr="006510A9" w14:paraId="6DDB0266" w14:textId="77777777" w:rsidTr="00280E77">
        <w:tc>
          <w:tcPr>
            <w:tcW w:w="0" w:type="auto"/>
            <w:hideMark/>
          </w:tcPr>
          <w:p w14:paraId="0300065C"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Depreciation</w:t>
            </w:r>
            <w:proofErr w:type="spellEnd"/>
          </w:p>
        </w:tc>
        <w:tc>
          <w:tcPr>
            <w:tcW w:w="0" w:type="auto"/>
            <w:hideMark/>
          </w:tcPr>
          <w:p w14:paraId="3300B2D7"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3CD9BD85"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0.93</w:t>
            </w:r>
          </w:p>
        </w:tc>
        <w:tc>
          <w:tcPr>
            <w:tcW w:w="0" w:type="auto"/>
            <w:hideMark/>
          </w:tcPr>
          <w:p w14:paraId="084878E0"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0.93</w:t>
            </w:r>
          </w:p>
        </w:tc>
        <w:tc>
          <w:tcPr>
            <w:tcW w:w="0" w:type="auto"/>
            <w:hideMark/>
          </w:tcPr>
          <w:p w14:paraId="5F51EFE2"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0.94</w:t>
            </w:r>
          </w:p>
        </w:tc>
        <w:tc>
          <w:tcPr>
            <w:tcW w:w="0" w:type="auto"/>
            <w:hideMark/>
          </w:tcPr>
          <w:p w14:paraId="656C8804"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0FAAF645"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2CB66F5D"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0.85</w:t>
            </w:r>
          </w:p>
        </w:tc>
      </w:tr>
      <w:tr w:rsidR="009A13BB" w:rsidRPr="006510A9" w14:paraId="3778C068" w14:textId="77777777" w:rsidTr="00280E77">
        <w:tc>
          <w:tcPr>
            <w:tcW w:w="0" w:type="auto"/>
            <w:hideMark/>
          </w:tcPr>
          <w:p w14:paraId="05F7E51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Foreign</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Currency</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Translation</w:t>
            </w:r>
            <w:proofErr w:type="spellEnd"/>
          </w:p>
        </w:tc>
        <w:tc>
          <w:tcPr>
            <w:tcW w:w="0" w:type="auto"/>
            <w:hideMark/>
          </w:tcPr>
          <w:p w14:paraId="121B60C5"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0.95</w:t>
            </w:r>
          </w:p>
        </w:tc>
        <w:tc>
          <w:tcPr>
            <w:tcW w:w="0" w:type="auto"/>
            <w:hideMark/>
          </w:tcPr>
          <w:p w14:paraId="3F5C23C2"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0.84</w:t>
            </w:r>
          </w:p>
        </w:tc>
        <w:tc>
          <w:tcPr>
            <w:tcW w:w="0" w:type="auto"/>
            <w:hideMark/>
          </w:tcPr>
          <w:p w14:paraId="4CD49A2D"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0.93</w:t>
            </w:r>
          </w:p>
        </w:tc>
        <w:tc>
          <w:tcPr>
            <w:tcW w:w="0" w:type="auto"/>
            <w:hideMark/>
          </w:tcPr>
          <w:p w14:paraId="132B7BE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063C1DD0"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4B507B72"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699C97C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r>
      <w:tr w:rsidR="009A13BB" w:rsidRPr="006510A9" w14:paraId="1A6FFFF9" w14:textId="77777777" w:rsidTr="00280E77">
        <w:tc>
          <w:tcPr>
            <w:tcW w:w="0" w:type="auto"/>
            <w:hideMark/>
          </w:tcPr>
          <w:p w14:paraId="2E7A3850"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proofErr w:type="spellStart"/>
            <w:r w:rsidRPr="00126423">
              <w:rPr>
                <w:rFonts w:asciiTheme="majorBidi" w:eastAsia="Times New Roman" w:hAnsiTheme="majorBidi" w:cstheme="majorBidi"/>
                <w:color w:val="0D0D0D"/>
                <w:sz w:val="21"/>
                <w:szCs w:val="21"/>
                <w:lang w:eastAsia="en-GB"/>
              </w:rPr>
              <w:t>Investment</w:t>
            </w:r>
            <w:proofErr w:type="spellEnd"/>
            <w:r w:rsidRPr="00126423">
              <w:rPr>
                <w:rFonts w:asciiTheme="majorBidi" w:eastAsia="Times New Roman" w:hAnsiTheme="majorBidi" w:cstheme="majorBidi"/>
                <w:color w:val="0D0D0D"/>
                <w:sz w:val="21"/>
                <w:szCs w:val="21"/>
                <w:lang w:eastAsia="en-GB"/>
              </w:rPr>
              <w:t xml:space="preserve"> </w:t>
            </w:r>
            <w:proofErr w:type="spellStart"/>
            <w:r w:rsidRPr="00126423">
              <w:rPr>
                <w:rFonts w:asciiTheme="majorBidi" w:eastAsia="Times New Roman" w:hAnsiTheme="majorBidi" w:cstheme="majorBidi"/>
                <w:color w:val="0D0D0D"/>
                <w:sz w:val="21"/>
                <w:szCs w:val="21"/>
                <w:lang w:eastAsia="en-GB"/>
              </w:rPr>
              <w:t>Property</w:t>
            </w:r>
            <w:proofErr w:type="spellEnd"/>
          </w:p>
        </w:tc>
        <w:tc>
          <w:tcPr>
            <w:tcW w:w="0" w:type="auto"/>
            <w:hideMark/>
          </w:tcPr>
          <w:p w14:paraId="21CF296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0.71</w:t>
            </w:r>
          </w:p>
        </w:tc>
        <w:tc>
          <w:tcPr>
            <w:tcW w:w="0" w:type="auto"/>
            <w:hideMark/>
          </w:tcPr>
          <w:p w14:paraId="23754F08"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1.00</w:t>
            </w:r>
          </w:p>
        </w:tc>
        <w:tc>
          <w:tcPr>
            <w:tcW w:w="0" w:type="auto"/>
            <w:hideMark/>
          </w:tcPr>
          <w:p w14:paraId="6665B939"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0.52</w:t>
            </w:r>
          </w:p>
        </w:tc>
        <w:tc>
          <w:tcPr>
            <w:tcW w:w="0" w:type="auto"/>
            <w:hideMark/>
          </w:tcPr>
          <w:p w14:paraId="677FBF4F"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0.47</w:t>
            </w:r>
          </w:p>
        </w:tc>
        <w:tc>
          <w:tcPr>
            <w:tcW w:w="0" w:type="auto"/>
            <w:hideMark/>
          </w:tcPr>
          <w:p w14:paraId="2ADB205A"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0.56</w:t>
            </w:r>
          </w:p>
        </w:tc>
        <w:tc>
          <w:tcPr>
            <w:tcW w:w="0" w:type="auto"/>
            <w:hideMark/>
          </w:tcPr>
          <w:p w14:paraId="3374F0B1"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0.40</w:t>
            </w:r>
          </w:p>
        </w:tc>
        <w:tc>
          <w:tcPr>
            <w:tcW w:w="0" w:type="auto"/>
            <w:hideMark/>
          </w:tcPr>
          <w:p w14:paraId="28428188" w14:textId="77777777" w:rsidR="009A13BB" w:rsidRPr="00126423" w:rsidRDefault="009A13BB" w:rsidP="00280E77">
            <w:pPr>
              <w:bidi w:val="0"/>
              <w:spacing w:after="0" w:line="240" w:lineRule="auto"/>
              <w:rPr>
                <w:rFonts w:asciiTheme="majorBidi" w:eastAsia="Times New Roman" w:hAnsiTheme="majorBidi" w:cstheme="majorBidi"/>
                <w:color w:val="0D0D0D"/>
                <w:kern w:val="0"/>
                <w:sz w:val="21"/>
                <w:szCs w:val="21"/>
                <w:lang w:eastAsia="en-GB"/>
              </w:rPr>
            </w:pPr>
            <w:r w:rsidRPr="00126423">
              <w:rPr>
                <w:rFonts w:asciiTheme="majorBidi" w:eastAsia="Times New Roman" w:hAnsiTheme="majorBidi" w:cstheme="majorBidi"/>
                <w:color w:val="0D0D0D"/>
                <w:sz w:val="21"/>
                <w:szCs w:val="21"/>
                <w:lang w:eastAsia="en-GB"/>
              </w:rPr>
              <w:t>0.40</w:t>
            </w:r>
          </w:p>
        </w:tc>
      </w:tr>
    </w:tbl>
    <w:p w14:paraId="1AA114C4" w14:textId="169635B3" w:rsidR="009A13BB" w:rsidRPr="00B80810" w:rsidRDefault="00C158A8" w:rsidP="00C158A8">
      <w:pPr>
        <w:bidi w:val="0"/>
        <w:spacing w:line="240" w:lineRule="auto"/>
        <w:jc w:val="both"/>
        <w:rPr>
          <w:rFonts w:asciiTheme="majorBidi" w:hAnsiTheme="majorBidi" w:cstheme="majorBidi"/>
          <w:sz w:val="20"/>
          <w:szCs w:val="20"/>
          <w:lang w:val="en-GB"/>
        </w:rPr>
      </w:pPr>
      <w:r w:rsidRPr="00B80810">
        <w:rPr>
          <w:rFonts w:asciiTheme="majorBidi" w:hAnsiTheme="majorBidi" w:cstheme="majorBidi"/>
          <w:b/>
          <w:bCs/>
          <w:sz w:val="20"/>
          <w:szCs w:val="20"/>
          <w:lang w:val="en-GB"/>
        </w:rPr>
        <w:t xml:space="preserve">Note: </w:t>
      </w:r>
      <w:r w:rsidR="009A13BB" w:rsidRPr="00B80810">
        <w:rPr>
          <w:rFonts w:asciiTheme="majorBidi" w:hAnsiTheme="majorBidi" w:cstheme="majorBidi"/>
          <w:sz w:val="20"/>
          <w:szCs w:val="20"/>
          <w:lang w:val="en-GB"/>
        </w:rPr>
        <w:t>Table 2 consolidates the C-index values for each accounting measure across the selected Middle Eastern countries, offering a comprehensive overview of harmonization levels.</w:t>
      </w:r>
    </w:p>
    <w:p w14:paraId="30A66B23" w14:textId="77777777" w:rsidR="009A13BB" w:rsidRPr="00126423"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b/>
          <w:bCs/>
          <w:lang w:val="en-GB"/>
        </w:rPr>
        <w:t>Inventory Valuation and Costing Method</w:t>
      </w:r>
      <w:r w:rsidRPr="00126423">
        <w:rPr>
          <w:rFonts w:asciiTheme="majorBidi" w:hAnsiTheme="majorBidi" w:cstheme="majorBidi"/>
          <w:lang w:val="en-GB"/>
        </w:rPr>
        <w:t xml:space="preserve">: There is a noticeable variance in the harmonization of inventory valuation and costing methods. While countries like Oman, Kuwait, and Qatar show full harmonization in inventory valuation, indicating a consistent approach across firms, inventory costing methods generally exhibit lower harmonization levels. This </w:t>
      </w:r>
      <w:r w:rsidRPr="00126423">
        <w:rPr>
          <w:rFonts w:asciiTheme="majorBidi" w:hAnsiTheme="majorBidi" w:cstheme="majorBidi"/>
          <w:lang w:val="en-GB"/>
        </w:rPr>
        <w:lastRenderedPageBreak/>
        <w:t>suggests diverse costing practices within the same country, potentially due to differing industrial requirements or interpretation of accounting standards.</w:t>
      </w:r>
    </w:p>
    <w:p w14:paraId="7B68DF93" w14:textId="77777777" w:rsidR="009A13BB" w:rsidRPr="00126423"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b/>
          <w:bCs/>
          <w:lang w:val="en-GB"/>
        </w:rPr>
        <w:t>Borrowing Costs</w:t>
      </w:r>
      <w:r w:rsidRPr="00126423">
        <w:rPr>
          <w:rFonts w:asciiTheme="majorBidi" w:hAnsiTheme="majorBidi" w:cstheme="majorBidi"/>
          <w:lang w:val="en-GB"/>
        </w:rPr>
        <w:t>: The harmonization in borrowing costs also varies, with Qatar showing full harmonization. This could imply a uniform understanding and application of the relevant standards for capitalizing or expensing borrowing costs among Qatari firms. In contrast, countries like Jordan and Palestine show lower levels of harmonization, possibly reflecting varied business practices or economic conditions influencing accounting decisions.</w:t>
      </w:r>
    </w:p>
    <w:p w14:paraId="0155FDA5" w14:textId="77777777" w:rsidR="009A13BB" w:rsidRPr="00126423"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b/>
          <w:bCs/>
          <w:lang w:val="en-GB"/>
        </w:rPr>
        <w:t>Property, Plant, and Equipment</w:t>
      </w:r>
      <w:r w:rsidRPr="00126423">
        <w:rPr>
          <w:rFonts w:asciiTheme="majorBidi" w:hAnsiTheme="majorBidi" w:cstheme="majorBidi"/>
          <w:lang w:val="en-GB"/>
        </w:rPr>
        <w:t>: A high degree of harmonization is observed across all countries in the measurement of property, plant, and equipment. This uniformity could be attributed to the clear guidance provided by IAS 16 and the critical nature of these assets to business operations, leading to more consistent accounting practices.</w:t>
      </w:r>
    </w:p>
    <w:p w14:paraId="5AF06481" w14:textId="77777777" w:rsidR="009A13BB" w:rsidRPr="00126423"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b/>
          <w:bCs/>
          <w:lang w:val="en-GB"/>
        </w:rPr>
        <w:t>Depreciation</w:t>
      </w:r>
      <w:r w:rsidRPr="00126423">
        <w:rPr>
          <w:rFonts w:asciiTheme="majorBidi" w:hAnsiTheme="majorBidi" w:cstheme="majorBidi"/>
          <w:lang w:val="en-GB"/>
        </w:rPr>
        <w:t>: The harmonization of depreciation methods is notably high in all countries, suggesting a common approach to asset depreciation. This could be due to the straightforward nature of the straight-line method, commonly preferred for its simplicity and consistency over time.</w:t>
      </w:r>
    </w:p>
    <w:p w14:paraId="534C803B" w14:textId="77777777" w:rsidR="009A13BB" w:rsidRPr="00126423"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b/>
          <w:bCs/>
          <w:lang w:val="en-GB"/>
        </w:rPr>
        <w:t>Foreign Currency Translation and Investment Property</w:t>
      </w:r>
      <w:r w:rsidRPr="00126423">
        <w:rPr>
          <w:rFonts w:asciiTheme="majorBidi" w:hAnsiTheme="majorBidi" w:cstheme="majorBidi"/>
          <w:lang w:val="en-GB"/>
        </w:rPr>
        <w:t>: While there is significant harmonization in foreign currency translation rates, investment property valuation shows varied levels of harmonization. This difference may arise from the choice between cost and fair value models, with the latter depending more on market conditions and management judgment.</w:t>
      </w:r>
    </w:p>
    <w:p w14:paraId="38E034CC" w14:textId="77777777" w:rsidR="009A13BB" w:rsidRPr="00126423"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lang w:val="en-GB"/>
        </w:rPr>
        <w:t>In summary, the analysis indicates that while some accounting measures exhibit high levels of harmonization within countries, indicating standardized practices, others show considerable variation. This disparity can be attributed to the complexity of certain accounting areas, differences in industry practices, and the flexibility allowed by accounting standards. Understanding these variations is crucial for stakeholders relying on financial statements for decision-making, as it impacts the comparability and reliability of financial information across borders.</w:t>
      </w:r>
    </w:p>
    <w:p w14:paraId="5F313AA0" w14:textId="77777777" w:rsidR="00C158A8" w:rsidRDefault="00C158A8" w:rsidP="00C158A8">
      <w:pPr>
        <w:pStyle w:val="ListParagraph"/>
        <w:numPr>
          <w:ilvl w:val="0"/>
          <w:numId w:val="35"/>
        </w:numPr>
        <w:bidi w:val="0"/>
        <w:spacing w:line="360" w:lineRule="auto"/>
        <w:jc w:val="both"/>
        <w:rPr>
          <w:rFonts w:asciiTheme="majorBidi" w:hAnsiTheme="majorBidi" w:cstheme="majorBidi"/>
          <w:b/>
          <w:bCs/>
          <w:i/>
          <w:iCs/>
          <w:lang w:val="en-GB"/>
        </w:rPr>
      </w:pPr>
      <w:r w:rsidRPr="00C158A8">
        <w:rPr>
          <w:rFonts w:asciiTheme="majorBidi" w:hAnsiTheme="majorBidi" w:cstheme="majorBidi"/>
          <w:b/>
          <w:bCs/>
          <w:i/>
          <w:iCs/>
          <w:lang w:val="en-GB"/>
        </w:rPr>
        <w:t>International Harmonization Across Countries</w:t>
      </w:r>
    </w:p>
    <w:p w14:paraId="7DCB70B8" w14:textId="77777777" w:rsidR="00C158A8" w:rsidRPr="00C158A8" w:rsidRDefault="00C158A8" w:rsidP="00C158A8">
      <w:pPr>
        <w:bidi w:val="0"/>
        <w:spacing w:line="240" w:lineRule="auto"/>
        <w:jc w:val="both"/>
        <w:rPr>
          <w:rFonts w:asciiTheme="majorBidi" w:hAnsiTheme="majorBidi" w:cstheme="majorBidi"/>
          <w:lang w:val="en-GB"/>
        </w:rPr>
      </w:pPr>
      <w:r w:rsidRPr="00C158A8">
        <w:rPr>
          <w:rFonts w:asciiTheme="majorBidi" w:hAnsiTheme="majorBidi" w:cstheme="majorBidi"/>
          <w:lang w:val="en-GB"/>
        </w:rPr>
        <w:t>Table 3 illustrates the nuanced landscape of international accounting harmonization, where IFRS adopters generally exhibit higher levels of uniformity in key accounting practices compared to local standards adopters. In terms of inventory valuation, property, plant, and equipment, and depreciation method, IFRS adopters show notably higher harmonization, approaching near-uniform application in some areas. This aligns with previous findings (</w:t>
      </w:r>
      <w:proofErr w:type="spellStart"/>
      <w:r w:rsidRPr="00C158A8">
        <w:rPr>
          <w:rFonts w:asciiTheme="majorBidi" w:hAnsiTheme="majorBidi" w:cstheme="majorBidi"/>
          <w:lang w:val="en-GB"/>
        </w:rPr>
        <w:t>Mišuráková</w:t>
      </w:r>
      <w:proofErr w:type="spellEnd"/>
      <w:r w:rsidRPr="00C158A8">
        <w:rPr>
          <w:rFonts w:asciiTheme="majorBidi" w:hAnsiTheme="majorBidi" w:cstheme="majorBidi"/>
          <w:lang w:val="en-GB"/>
        </w:rPr>
        <w:t>, 2015; Abdel-Azim, 2007) that suggest IFRS's effectiveness in standardizing accounting practices. However, for inventory costing methods and investment property, harmonization levels are relatively lower for IFRS adopters, indicating a variance in application and interpretation. This variability might be attributed to the flexibility within IFRS and the influence of local business environments (Nobes, 2006), highlighting the complexity of achieving uniformity even under a global standard.</w:t>
      </w:r>
    </w:p>
    <w:p w14:paraId="6F97F155" w14:textId="77777777" w:rsidR="00C158A8" w:rsidRDefault="00C158A8" w:rsidP="00C158A8">
      <w:pPr>
        <w:bidi w:val="0"/>
        <w:spacing w:line="360" w:lineRule="auto"/>
        <w:jc w:val="both"/>
        <w:rPr>
          <w:rFonts w:asciiTheme="majorBidi" w:hAnsiTheme="majorBidi" w:cstheme="majorBidi"/>
          <w:b/>
          <w:bCs/>
          <w:i/>
          <w:iCs/>
          <w:lang w:val="en-GB"/>
        </w:rPr>
      </w:pPr>
    </w:p>
    <w:p w14:paraId="4256DBC3" w14:textId="77777777" w:rsidR="00C158A8" w:rsidRDefault="00C158A8" w:rsidP="00C158A8">
      <w:pPr>
        <w:bidi w:val="0"/>
        <w:spacing w:line="360" w:lineRule="auto"/>
        <w:jc w:val="both"/>
        <w:rPr>
          <w:rFonts w:asciiTheme="majorBidi" w:hAnsiTheme="majorBidi" w:cstheme="majorBidi"/>
          <w:b/>
          <w:bCs/>
          <w:i/>
          <w:iCs/>
          <w:lang w:val="en-GB"/>
        </w:rPr>
      </w:pPr>
    </w:p>
    <w:p w14:paraId="5221EBB6" w14:textId="77777777" w:rsidR="00C158A8" w:rsidRDefault="00C158A8" w:rsidP="00C158A8">
      <w:pPr>
        <w:bidi w:val="0"/>
        <w:spacing w:line="360" w:lineRule="auto"/>
        <w:jc w:val="both"/>
        <w:rPr>
          <w:rFonts w:asciiTheme="majorBidi" w:hAnsiTheme="majorBidi" w:cstheme="majorBidi"/>
          <w:b/>
          <w:bCs/>
          <w:i/>
          <w:iCs/>
          <w:lang w:val="en-GB"/>
        </w:rPr>
      </w:pPr>
    </w:p>
    <w:p w14:paraId="4A5F8497" w14:textId="77777777" w:rsidR="00C158A8" w:rsidRDefault="00C158A8" w:rsidP="00C158A8">
      <w:pPr>
        <w:bidi w:val="0"/>
        <w:spacing w:line="360" w:lineRule="auto"/>
        <w:jc w:val="both"/>
        <w:rPr>
          <w:rFonts w:asciiTheme="majorBidi" w:hAnsiTheme="majorBidi" w:cstheme="majorBidi"/>
          <w:b/>
          <w:bCs/>
          <w:i/>
          <w:iCs/>
          <w:lang w:val="en-GB"/>
        </w:rPr>
      </w:pPr>
    </w:p>
    <w:p w14:paraId="1E5A8E34" w14:textId="77777777" w:rsidR="00C158A8" w:rsidRPr="00C158A8" w:rsidRDefault="00C158A8" w:rsidP="00C158A8">
      <w:pPr>
        <w:bidi w:val="0"/>
        <w:spacing w:line="360" w:lineRule="auto"/>
        <w:jc w:val="both"/>
        <w:rPr>
          <w:rFonts w:asciiTheme="majorBidi" w:hAnsiTheme="majorBidi" w:cstheme="majorBidi"/>
          <w:b/>
          <w:bCs/>
          <w:i/>
          <w:iCs/>
          <w:lang w:val="en-GB"/>
        </w:rPr>
      </w:pPr>
    </w:p>
    <w:p w14:paraId="62635BB2" w14:textId="77777777" w:rsidR="009A13BB" w:rsidRPr="00126423" w:rsidRDefault="009A13BB" w:rsidP="009A13BB">
      <w:pPr>
        <w:bidi w:val="0"/>
        <w:spacing w:line="360" w:lineRule="auto"/>
        <w:jc w:val="both"/>
        <w:rPr>
          <w:rFonts w:asciiTheme="majorBidi" w:hAnsiTheme="majorBidi" w:cstheme="majorBidi"/>
          <w:lang w:val="en-GB"/>
        </w:rPr>
      </w:pPr>
      <w:r w:rsidRPr="00126423">
        <w:rPr>
          <w:rFonts w:asciiTheme="majorBidi" w:hAnsiTheme="majorBidi" w:cstheme="majorBidi"/>
          <w:b/>
          <w:bCs/>
          <w:lang w:val="en-GB" w:bidi="ar-JO"/>
        </w:rPr>
        <w:lastRenderedPageBreak/>
        <w:t>Table3: International Accounting Harmonization and Standard Adoption</w:t>
      </w:r>
    </w:p>
    <w:tbl>
      <w:tblPr>
        <w:tblStyle w:val="TableGrid"/>
        <w:tblW w:w="0" w:type="auto"/>
        <w:tblLook w:val="04A0" w:firstRow="1" w:lastRow="0" w:firstColumn="1" w:lastColumn="0" w:noHBand="0" w:noVBand="1"/>
      </w:tblPr>
      <w:tblGrid>
        <w:gridCol w:w="2159"/>
        <w:gridCol w:w="2525"/>
        <w:gridCol w:w="1591"/>
        <w:gridCol w:w="2027"/>
      </w:tblGrid>
      <w:tr w:rsidR="009A13BB" w:rsidRPr="006510A9" w14:paraId="54699188" w14:textId="77777777" w:rsidTr="00280E77">
        <w:tc>
          <w:tcPr>
            <w:tcW w:w="0" w:type="auto"/>
            <w:hideMark/>
          </w:tcPr>
          <w:p w14:paraId="18C19B80"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Accounting Measure</w:t>
            </w:r>
          </w:p>
        </w:tc>
        <w:tc>
          <w:tcPr>
            <w:tcW w:w="0" w:type="auto"/>
            <w:hideMark/>
          </w:tcPr>
          <w:p w14:paraId="56773D30"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Harmonization across Countries (I-Index)</w:t>
            </w:r>
          </w:p>
        </w:tc>
        <w:tc>
          <w:tcPr>
            <w:tcW w:w="0" w:type="auto"/>
            <w:hideMark/>
          </w:tcPr>
          <w:p w14:paraId="3773436A"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IFRS Adopters (I-Index)</w:t>
            </w:r>
          </w:p>
        </w:tc>
        <w:tc>
          <w:tcPr>
            <w:tcW w:w="0" w:type="auto"/>
            <w:hideMark/>
          </w:tcPr>
          <w:p w14:paraId="5BEDFF57"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Local Standards Adopters (I-Index)</w:t>
            </w:r>
          </w:p>
        </w:tc>
      </w:tr>
      <w:tr w:rsidR="009A13BB" w:rsidRPr="006510A9" w14:paraId="1EAA3C97" w14:textId="77777777" w:rsidTr="00280E77">
        <w:tc>
          <w:tcPr>
            <w:tcW w:w="0" w:type="auto"/>
            <w:hideMark/>
          </w:tcPr>
          <w:p w14:paraId="710101F1"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Inventory Valuation</w:t>
            </w:r>
          </w:p>
        </w:tc>
        <w:tc>
          <w:tcPr>
            <w:tcW w:w="0" w:type="auto"/>
            <w:hideMark/>
          </w:tcPr>
          <w:p w14:paraId="4EB47E33"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0.80</w:t>
            </w:r>
          </w:p>
        </w:tc>
        <w:tc>
          <w:tcPr>
            <w:tcW w:w="0" w:type="auto"/>
            <w:hideMark/>
          </w:tcPr>
          <w:p w14:paraId="7D5A49E8"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0.82</w:t>
            </w:r>
          </w:p>
        </w:tc>
        <w:tc>
          <w:tcPr>
            <w:tcW w:w="0" w:type="auto"/>
            <w:hideMark/>
          </w:tcPr>
          <w:p w14:paraId="0BD25241"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0.78</w:t>
            </w:r>
          </w:p>
        </w:tc>
      </w:tr>
      <w:tr w:rsidR="009A13BB" w:rsidRPr="006510A9" w14:paraId="6CF8C780" w14:textId="77777777" w:rsidTr="00280E77">
        <w:tc>
          <w:tcPr>
            <w:tcW w:w="0" w:type="auto"/>
            <w:hideMark/>
          </w:tcPr>
          <w:p w14:paraId="03E33072"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Inventory Costing Method</w:t>
            </w:r>
          </w:p>
        </w:tc>
        <w:tc>
          <w:tcPr>
            <w:tcW w:w="0" w:type="auto"/>
            <w:hideMark/>
          </w:tcPr>
          <w:p w14:paraId="3DC632BF"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0.44</w:t>
            </w:r>
          </w:p>
        </w:tc>
        <w:tc>
          <w:tcPr>
            <w:tcW w:w="0" w:type="auto"/>
            <w:hideMark/>
          </w:tcPr>
          <w:p w14:paraId="77959F1A"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0.42</w:t>
            </w:r>
          </w:p>
        </w:tc>
        <w:tc>
          <w:tcPr>
            <w:tcW w:w="0" w:type="auto"/>
            <w:hideMark/>
          </w:tcPr>
          <w:p w14:paraId="4205A0DB"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0.47</w:t>
            </w:r>
          </w:p>
        </w:tc>
      </w:tr>
      <w:tr w:rsidR="009A13BB" w:rsidRPr="006510A9" w14:paraId="6C3BF372" w14:textId="77777777" w:rsidTr="00280E77">
        <w:tc>
          <w:tcPr>
            <w:tcW w:w="0" w:type="auto"/>
            <w:hideMark/>
          </w:tcPr>
          <w:p w14:paraId="1F0A6074"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Borrowing Costs</w:t>
            </w:r>
          </w:p>
        </w:tc>
        <w:tc>
          <w:tcPr>
            <w:tcW w:w="0" w:type="auto"/>
            <w:hideMark/>
          </w:tcPr>
          <w:p w14:paraId="6C230BCB"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0.56</w:t>
            </w:r>
          </w:p>
        </w:tc>
        <w:tc>
          <w:tcPr>
            <w:tcW w:w="0" w:type="auto"/>
            <w:hideMark/>
          </w:tcPr>
          <w:p w14:paraId="178859CB"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0.50</w:t>
            </w:r>
          </w:p>
        </w:tc>
        <w:tc>
          <w:tcPr>
            <w:tcW w:w="0" w:type="auto"/>
            <w:hideMark/>
          </w:tcPr>
          <w:p w14:paraId="64E97BB6"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0.56</w:t>
            </w:r>
          </w:p>
        </w:tc>
      </w:tr>
      <w:tr w:rsidR="009A13BB" w:rsidRPr="006510A9" w14:paraId="1A121177" w14:textId="77777777" w:rsidTr="00280E77">
        <w:tc>
          <w:tcPr>
            <w:tcW w:w="0" w:type="auto"/>
            <w:hideMark/>
          </w:tcPr>
          <w:p w14:paraId="52F73FB1"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Property, Plant &amp; Equipment</w:t>
            </w:r>
          </w:p>
        </w:tc>
        <w:tc>
          <w:tcPr>
            <w:tcW w:w="0" w:type="auto"/>
            <w:hideMark/>
          </w:tcPr>
          <w:p w14:paraId="72535D10"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0.98</w:t>
            </w:r>
          </w:p>
        </w:tc>
        <w:tc>
          <w:tcPr>
            <w:tcW w:w="0" w:type="auto"/>
            <w:hideMark/>
          </w:tcPr>
          <w:p w14:paraId="03262102"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1.00</w:t>
            </w:r>
          </w:p>
        </w:tc>
        <w:tc>
          <w:tcPr>
            <w:tcW w:w="0" w:type="auto"/>
            <w:hideMark/>
          </w:tcPr>
          <w:p w14:paraId="68CCF64F"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0.97</w:t>
            </w:r>
          </w:p>
        </w:tc>
      </w:tr>
      <w:tr w:rsidR="009A13BB" w:rsidRPr="006510A9" w14:paraId="2908FA23" w14:textId="77777777" w:rsidTr="00280E77">
        <w:tc>
          <w:tcPr>
            <w:tcW w:w="0" w:type="auto"/>
            <w:hideMark/>
          </w:tcPr>
          <w:p w14:paraId="4234C7C4"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Depreciation Method</w:t>
            </w:r>
          </w:p>
        </w:tc>
        <w:tc>
          <w:tcPr>
            <w:tcW w:w="0" w:type="auto"/>
            <w:hideMark/>
          </w:tcPr>
          <w:p w14:paraId="7DE07341"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0.95</w:t>
            </w:r>
          </w:p>
        </w:tc>
        <w:tc>
          <w:tcPr>
            <w:tcW w:w="0" w:type="auto"/>
            <w:hideMark/>
          </w:tcPr>
          <w:p w14:paraId="26B288A4"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0.97</w:t>
            </w:r>
          </w:p>
        </w:tc>
        <w:tc>
          <w:tcPr>
            <w:tcW w:w="0" w:type="auto"/>
            <w:hideMark/>
          </w:tcPr>
          <w:p w14:paraId="2A30B127"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0.93</w:t>
            </w:r>
          </w:p>
        </w:tc>
      </w:tr>
      <w:tr w:rsidR="009A13BB" w:rsidRPr="006510A9" w14:paraId="695D64CE" w14:textId="77777777" w:rsidTr="00280E77">
        <w:tc>
          <w:tcPr>
            <w:tcW w:w="0" w:type="auto"/>
            <w:hideMark/>
          </w:tcPr>
          <w:p w14:paraId="5870E9CE"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Foreign Currency Translation Rate</w:t>
            </w:r>
          </w:p>
        </w:tc>
        <w:tc>
          <w:tcPr>
            <w:tcW w:w="0" w:type="auto"/>
            <w:hideMark/>
          </w:tcPr>
          <w:p w14:paraId="7EC65C8C"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0.92</w:t>
            </w:r>
          </w:p>
        </w:tc>
        <w:tc>
          <w:tcPr>
            <w:tcW w:w="0" w:type="auto"/>
            <w:hideMark/>
          </w:tcPr>
          <w:p w14:paraId="1AD96976"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0.98</w:t>
            </w:r>
          </w:p>
        </w:tc>
        <w:tc>
          <w:tcPr>
            <w:tcW w:w="0" w:type="auto"/>
            <w:hideMark/>
          </w:tcPr>
          <w:p w14:paraId="21AF9E6C"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0.87</w:t>
            </w:r>
          </w:p>
        </w:tc>
      </w:tr>
      <w:tr w:rsidR="009A13BB" w:rsidRPr="006510A9" w14:paraId="199DEF6A" w14:textId="77777777" w:rsidTr="00280E77">
        <w:tc>
          <w:tcPr>
            <w:tcW w:w="0" w:type="auto"/>
            <w:hideMark/>
          </w:tcPr>
          <w:p w14:paraId="3EF12F4B"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Investment Property</w:t>
            </w:r>
          </w:p>
        </w:tc>
        <w:tc>
          <w:tcPr>
            <w:tcW w:w="0" w:type="auto"/>
            <w:hideMark/>
          </w:tcPr>
          <w:p w14:paraId="45B01EC5"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0.55</w:t>
            </w:r>
          </w:p>
        </w:tc>
        <w:tc>
          <w:tcPr>
            <w:tcW w:w="0" w:type="auto"/>
            <w:hideMark/>
          </w:tcPr>
          <w:p w14:paraId="10995332"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0.52</w:t>
            </w:r>
          </w:p>
        </w:tc>
        <w:tc>
          <w:tcPr>
            <w:tcW w:w="0" w:type="auto"/>
            <w:hideMark/>
          </w:tcPr>
          <w:p w14:paraId="651960A8" w14:textId="77777777" w:rsidR="009A13BB" w:rsidRPr="00126423" w:rsidRDefault="009A13BB" w:rsidP="00280E77">
            <w:pPr>
              <w:bidi w:val="0"/>
              <w:spacing w:line="240" w:lineRule="auto"/>
              <w:jc w:val="both"/>
              <w:rPr>
                <w:rFonts w:asciiTheme="majorBidi" w:hAnsiTheme="majorBidi" w:cstheme="majorBidi"/>
                <w:lang w:val="en-GB"/>
              </w:rPr>
            </w:pPr>
            <w:r w:rsidRPr="00126423">
              <w:rPr>
                <w:rFonts w:asciiTheme="majorBidi" w:hAnsiTheme="majorBidi" w:cstheme="majorBidi"/>
                <w:lang w:val="en-GB"/>
              </w:rPr>
              <w:t>0.60</w:t>
            </w:r>
          </w:p>
        </w:tc>
      </w:tr>
    </w:tbl>
    <w:p w14:paraId="5AF67BF0" w14:textId="77777777" w:rsidR="009A13BB" w:rsidRPr="00126423" w:rsidRDefault="009A13BB" w:rsidP="009A13BB">
      <w:pPr>
        <w:bidi w:val="0"/>
        <w:spacing w:line="360" w:lineRule="auto"/>
        <w:jc w:val="both"/>
        <w:rPr>
          <w:rFonts w:asciiTheme="majorBidi" w:hAnsiTheme="majorBidi" w:cstheme="majorBidi"/>
          <w:lang w:val="en-GB"/>
        </w:rPr>
      </w:pPr>
    </w:p>
    <w:p w14:paraId="39216BD3" w14:textId="2BBFDE96" w:rsidR="009A13BB" w:rsidRPr="00C158A8" w:rsidRDefault="009A13BB" w:rsidP="00C158A8">
      <w:pPr>
        <w:pStyle w:val="ListParagraph"/>
        <w:numPr>
          <w:ilvl w:val="0"/>
          <w:numId w:val="35"/>
        </w:numPr>
        <w:bidi w:val="0"/>
        <w:spacing w:line="360" w:lineRule="auto"/>
        <w:jc w:val="both"/>
        <w:rPr>
          <w:rFonts w:asciiTheme="majorBidi" w:hAnsiTheme="majorBidi" w:cstheme="majorBidi"/>
          <w:b/>
          <w:bCs/>
          <w:i/>
          <w:iCs/>
          <w:lang w:val="en-GB"/>
        </w:rPr>
      </w:pPr>
      <w:r w:rsidRPr="00C158A8">
        <w:rPr>
          <w:rFonts w:asciiTheme="majorBidi" w:hAnsiTheme="majorBidi" w:cstheme="majorBidi"/>
          <w:b/>
          <w:bCs/>
          <w:i/>
          <w:iCs/>
          <w:lang w:val="en-GB"/>
        </w:rPr>
        <w:t>Differences between IFRS and Local Standards Adopters</w:t>
      </w:r>
    </w:p>
    <w:p w14:paraId="523240CA" w14:textId="77777777" w:rsidR="009A13BB" w:rsidRDefault="009A13BB" w:rsidP="009A13BB">
      <w:pPr>
        <w:bidi w:val="0"/>
        <w:spacing w:line="240" w:lineRule="auto"/>
        <w:jc w:val="both"/>
        <w:rPr>
          <w:rFonts w:asciiTheme="majorBidi" w:hAnsiTheme="majorBidi" w:cstheme="majorBidi"/>
          <w:lang w:val="en-GB"/>
        </w:rPr>
      </w:pPr>
      <w:r w:rsidRPr="00126423">
        <w:rPr>
          <w:rFonts w:asciiTheme="majorBidi" w:hAnsiTheme="majorBidi" w:cstheme="majorBidi"/>
          <w:lang w:val="en-GB"/>
        </w:rPr>
        <w:t xml:space="preserve">The comparative analysis of harmonization between IFRS and local standards adopters reveals significant insights. While IFRS adoption is associated with greater uniformity in several accounting areas, it does not guarantee higher harmonization across all practices. This is particularly evident in inventory costing and investment property valuation, where local standards adopters exhibit slightly higher levels of harmonization. This could be due to the local standards being more closely aligned with specific regional market conditions or economic factors (Rueschhoff &amp; </w:t>
      </w:r>
      <w:proofErr w:type="spellStart"/>
      <w:r w:rsidRPr="00126423">
        <w:rPr>
          <w:rFonts w:asciiTheme="majorBidi" w:hAnsiTheme="majorBidi" w:cstheme="majorBidi"/>
          <w:lang w:val="en-GB"/>
        </w:rPr>
        <w:t>Strupeck</w:t>
      </w:r>
      <w:proofErr w:type="spellEnd"/>
      <w:r w:rsidRPr="00126423">
        <w:rPr>
          <w:rFonts w:asciiTheme="majorBidi" w:hAnsiTheme="majorBidi" w:cstheme="majorBidi"/>
          <w:lang w:val="en-GB"/>
        </w:rPr>
        <w:t xml:space="preserve">, 1998). The observed differences in harmonization levels challenge the prevailing notion that IFRS adoption is a one-size-fits-all solution for global accounting challenges. They suggest that the effectiveness of international standards like IFRS might be contingent on various factors, including the nature of the accounting area and the specific regional context (Diga, 1996; Herrmann &amp; Thomas, 1995). Therefore, while IFRS plays a crucial role in harmonizing accounting practices, the journey towards global uniformity in accounting remains a nuanced and multifaceted </w:t>
      </w:r>
      <w:proofErr w:type="spellStart"/>
      <w:r w:rsidRPr="00126423">
        <w:rPr>
          <w:rFonts w:asciiTheme="majorBidi" w:hAnsiTheme="majorBidi" w:cstheme="majorBidi"/>
          <w:lang w:val="en-GB"/>
        </w:rPr>
        <w:t>endeavor</w:t>
      </w:r>
      <w:proofErr w:type="spellEnd"/>
      <w:r w:rsidRPr="00126423">
        <w:rPr>
          <w:rFonts w:asciiTheme="majorBidi" w:hAnsiTheme="majorBidi" w:cstheme="majorBidi"/>
          <w:lang w:val="en-GB"/>
        </w:rPr>
        <w:t>.</w:t>
      </w:r>
    </w:p>
    <w:p w14:paraId="5764ACDA" w14:textId="77777777" w:rsidR="007A4BC9" w:rsidRPr="00126423" w:rsidRDefault="007A4BC9" w:rsidP="007A4BC9">
      <w:pPr>
        <w:bidi w:val="0"/>
        <w:spacing w:line="240" w:lineRule="auto"/>
        <w:jc w:val="both"/>
        <w:rPr>
          <w:rFonts w:asciiTheme="majorBidi" w:hAnsiTheme="majorBidi" w:cstheme="majorBidi"/>
          <w:lang w:val="en-GB"/>
        </w:rPr>
      </w:pPr>
    </w:p>
    <w:p w14:paraId="630A73C5" w14:textId="77777777" w:rsidR="009A13BB" w:rsidRPr="00126423" w:rsidRDefault="009A13BB" w:rsidP="009A13BB">
      <w:pPr>
        <w:spacing w:line="360" w:lineRule="auto"/>
        <w:jc w:val="right"/>
        <w:rPr>
          <w:rFonts w:asciiTheme="majorBidi" w:hAnsiTheme="majorBidi" w:cstheme="majorBidi"/>
          <w:vanish/>
          <w:lang w:val="en-GB" w:bidi="ar-JO"/>
        </w:rPr>
      </w:pPr>
      <w:r w:rsidRPr="00126423">
        <w:rPr>
          <w:rFonts w:asciiTheme="majorBidi" w:hAnsiTheme="majorBidi" w:cstheme="majorBidi"/>
          <w:vanish/>
          <w:lang w:val="en-GB" w:bidi="ar-JO"/>
        </w:rPr>
        <w:t>Top of Form</w:t>
      </w:r>
    </w:p>
    <w:p w14:paraId="0F5F1FC9" w14:textId="77777777" w:rsidR="009A13BB" w:rsidRPr="006510A9" w:rsidRDefault="009A13BB" w:rsidP="007A4BC9">
      <w:pPr>
        <w:bidi w:val="0"/>
        <w:spacing w:after="160" w:line="259" w:lineRule="auto"/>
        <w:jc w:val="right"/>
        <w:rPr>
          <w:rFonts w:asciiTheme="majorBidi" w:hAnsiTheme="majorBidi" w:cstheme="majorBidi"/>
          <w:b/>
          <w:bCs/>
        </w:rPr>
      </w:pPr>
      <w:r w:rsidRPr="006510A9">
        <w:rPr>
          <w:rFonts w:asciiTheme="majorBidi" w:hAnsiTheme="majorBidi" w:cstheme="majorBidi"/>
          <w:b/>
          <w:bCs/>
        </w:rPr>
        <w:t>Summary of Results, Conclusion, and Recommendations</w:t>
      </w:r>
    </w:p>
    <w:p w14:paraId="4F532528" w14:textId="77777777" w:rsidR="009A13BB" w:rsidRPr="006510A9" w:rsidRDefault="009A13BB" w:rsidP="009A13BB">
      <w:pPr>
        <w:bidi w:val="0"/>
        <w:spacing w:after="160" w:line="259" w:lineRule="auto"/>
        <w:jc w:val="both"/>
        <w:rPr>
          <w:rFonts w:asciiTheme="majorBidi" w:hAnsiTheme="majorBidi" w:cstheme="majorBidi"/>
        </w:rPr>
      </w:pPr>
      <w:r w:rsidRPr="006510A9">
        <w:rPr>
          <w:rFonts w:asciiTheme="majorBidi" w:hAnsiTheme="majorBidi" w:cstheme="majorBidi"/>
        </w:rPr>
        <w:t>In this comprehensive exploration of accounting harmonization, the study delved into several essential areas of inquiry (RQ1, RQ2, RQ3), focusing on the extent and nature of harmonization within and between selected Arab Middle Eastern countries and the influence of international versus local accounting standards.</w:t>
      </w:r>
    </w:p>
    <w:p w14:paraId="43C53FC8" w14:textId="77777777" w:rsidR="009A13BB" w:rsidRPr="006510A9" w:rsidRDefault="009A13BB" w:rsidP="009A13BB">
      <w:pPr>
        <w:bidi w:val="0"/>
        <w:spacing w:after="160" w:line="259" w:lineRule="auto"/>
        <w:jc w:val="both"/>
        <w:rPr>
          <w:rFonts w:asciiTheme="majorBidi" w:hAnsiTheme="majorBidi" w:cstheme="majorBidi"/>
        </w:rPr>
      </w:pPr>
      <w:r w:rsidRPr="006510A9">
        <w:rPr>
          <w:rFonts w:asciiTheme="majorBidi" w:hAnsiTheme="majorBidi" w:cstheme="majorBidi"/>
        </w:rPr>
        <w:t>Addressing the first research question (</w:t>
      </w:r>
      <w:r w:rsidRPr="006510A9">
        <w:rPr>
          <w:rFonts w:asciiTheme="majorBidi" w:hAnsiTheme="majorBidi" w:cstheme="majorBidi"/>
          <w:b/>
          <w:bCs/>
          <w:i/>
          <w:iCs/>
        </w:rPr>
        <w:t>RQ1</w:t>
      </w:r>
      <w:r w:rsidRPr="006510A9">
        <w:rPr>
          <w:rFonts w:asciiTheme="majorBidi" w:hAnsiTheme="majorBidi" w:cstheme="majorBidi"/>
        </w:rPr>
        <w:t xml:space="preserve">), the study identified varying levels of harmonization within individual countries. Notable distinctions were observed in practices such as inventory valuation and property, plant, and equipment valuation, where countries like Kuwait, Oman, Saudi Arabia, and Qatar demonstrated high harmonization. This suggests a strong adherence to certain standardized accounting practices within these countries. Conversely, areas like inventory costing methods and investment property valuation showed </w:t>
      </w:r>
      <w:r w:rsidRPr="006510A9">
        <w:rPr>
          <w:rFonts w:asciiTheme="majorBidi" w:hAnsiTheme="majorBidi" w:cstheme="majorBidi"/>
        </w:rPr>
        <w:lastRenderedPageBreak/>
        <w:t>lower levels of harmonization, reflecting diverse approaches likely influenced by local economic conditions and specific industry practices.</w:t>
      </w:r>
    </w:p>
    <w:p w14:paraId="012CA3BE" w14:textId="77777777" w:rsidR="009A13BB" w:rsidRPr="006510A9" w:rsidRDefault="009A13BB" w:rsidP="009A13BB">
      <w:pPr>
        <w:bidi w:val="0"/>
        <w:spacing w:after="160" w:line="259" w:lineRule="auto"/>
        <w:jc w:val="both"/>
        <w:rPr>
          <w:rFonts w:asciiTheme="majorBidi" w:hAnsiTheme="majorBidi" w:cstheme="majorBidi"/>
        </w:rPr>
      </w:pPr>
      <w:r w:rsidRPr="006510A9">
        <w:rPr>
          <w:rFonts w:asciiTheme="majorBidi" w:hAnsiTheme="majorBidi" w:cstheme="majorBidi"/>
        </w:rPr>
        <w:t>Turning to the second research question (</w:t>
      </w:r>
      <w:r w:rsidRPr="006510A9">
        <w:rPr>
          <w:rFonts w:asciiTheme="majorBidi" w:hAnsiTheme="majorBidi" w:cstheme="majorBidi"/>
          <w:b/>
          <w:bCs/>
          <w:i/>
          <w:iCs/>
        </w:rPr>
        <w:t>RQ2</w:t>
      </w:r>
      <w:r w:rsidRPr="006510A9">
        <w:rPr>
          <w:rFonts w:asciiTheme="majorBidi" w:hAnsiTheme="majorBidi" w:cstheme="majorBidi"/>
        </w:rPr>
        <w:t>), the analysis revealed significant international differences in accounting practices. While some areas exhibited high levels of harmonization across countries, particularly in the realms of inventory valuation and fixed asset-related measures, disparities were pronounced in inventory costing methods, borrowing costs, and investment property valuation. These findings highlight the challenges posed by varying economic contexts and regulatory environments in achieving global accounting harmonization.</w:t>
      </w:r>
    </w:p>
    <w:p w14:paraId="28925976" w14:textId="77777777" w:rsidR="009A13BB" w:rsidRPr="006510A9" w:rsidRDefault="009A13BB" w:rsidP="009A13BB">
      <w:pPr>
        <w:bidi w:val="0"/>
        <w:spacing w:after="160" w:line="259" w:lineRule="auto"/>
        <w:jc w:val="both"/>
        <w:rPr>
          <w:rFonts w:asciiTheme="majorBidi" w:hAnsiTheme="majorBidi" w:cstheme="majorBidi"/>
        </w:rPr>
      </w:pPr>
      <w:r w:rsidRPr="006510A9">
        <w:rPr>
          <w:rFonts w:asciiTheme="majorBidi" w:hAnsiTheme="majorBidi" w:cstheme="majorBidi"/>
        </w:rPr>
        <w:t>The third research question (</w:t>
      </w:r>
      <w:r w:rsidRPr="006510A9">
        <w:rPr>
          <w:rFonts w:asciiTheme="majorBidi" w:hAnsiTheme="majorBidi" w:cstheme="majorBidi"/>
          <w:b/>
          <w:bCs/>
          <w:i/>
          <w:iCs/>
        </w:rPr>
        <w:t>RQ3</w:t>
      </w:r>
      <w:r w:rsidRPr="006510A9">
        <w:rPr>
          <w:rFonts w:asciiTheme="majorBidi" w:hAnsiTheme="majorBidi" w:cstheme="majorBidi"/>
        </w:rPr>
        <w:t>) explored the impact of adopting international (IFRS) versus local accounting standards on harmonization levels. The results indicated a mixed impact. In some accounting areas, IFRS adoption correlated with higher harmonization, yet this was not a universal trend across all accounting measures. This outcome suggests that while international standards like IFRS play a crucial role in shaping accounting practices, they are not the sole factor influencing harmonization. Local economic conditions and industry-specific requirements also have a significant bearing on accounting practices.</w:t>
      </w:r>
    </w:p>
    <w:p w14:paraId="117EC881" w14:textId="77777777" w:rsidR="009A13BB" w:rsidRPr="006510A9" w:rsidRDefault="009A13BB" w:rsidP="009A13BB">
      <w:pPr>
        <w:bidi w:val="0"/>
        <w:spacing w:after="160" w:line="259" w:lineRule="auto"/>
        <w:jc w:val="both"/>
        <w:rPr>
          <w:rFonts w:asciiTheme="majorBidi" w:hAnsiTheme="majorBidi" w:cstheme="majorBidi"/>
        </w:rPr>
      </w:pPr>
      <w:r w:rsidRPr="006510A9">
        <w:rPr>
          <w:rFonts w:asciiTheme="majorBidi" w:hAnsiTheme="majorBidi" w:cstheme="majorBidi"/>
        </w:rPr>
        <w:t>In conclusion, this study illuminates the intricate landscape of accounting harmonization in the Arab Middle East. It underscores the need for a nuanced approach to global accounting standards, one that acknowledges and accommodates the diversity of economic and regulatory environments.</w:t>
      </w:r>
    </w:p>
    <w:p w14:paraId="47DECA87" w14:textId="77777777" w:rsidR="009A13BB" w:rsidRPr="006510A9" w:rsidRDefault="009A13BB" w:rsidP="009A13BB">
      <w:pPr>
        <w:bidi w:val="0"/>
        <w:spacing w:after="160" w:line="259" w:lineRule="auto"/>
        <w:jc w:val="both"/>
        <w:rPr>
          <w:rFonts w:asciiTheme="majorBidi" w:hAnsiTheme="majorBidi" w:cstheme="majorBidi"/>
        </w:rPr>
      </w:pPr>
      <w:r w:rsidRPr="006510A9">
        <w:rPr>
          <w:rFonts w:asciiTheme="majorBidi" w:hAnsiTheme="majorBidi" w:cstheme="majorBidi"/>
        </w:rPr>
        <w:t>Based on these insights, several recommendations emerge, each grounded in the nuanced understanding of the study's findings:</w:t>
      </w:r>
    </w:p>
    <w:p w14:paraId="490C6E14" w14:textId="77777777" w:rsidR="009A13BB" w:rsidRPr="006510A9" w:rsidRDefault="009A13BB" w:rsidP="009A13BB">
      <w:pPr>
        <w:numPr>
          <w:ilvl w:val="0"/>
          <w:numId w:val="34"/>
        </w:numPr>
        <w:bidi w:val="0"/>
        <w:spacing w:after="160" w:line="259" w:lineRule="auto"/>
        <w:jc w:val="both"/>
        <w:rPr>
          <w:rFonts w:asciiTheme="majorBidi" w:hAnsiTheme="majorBidi" w:cstheme="majorBidi"/>
        </w:rPr>
      </w:pPr>
      <w:r w:rsidRPr="006510A9">
        <w:rPr>
          <w:rFonts w:asciiTheme="majorBidi" w:hAnsiTheme="majorBidi" w:cstheme="majorBidi"/>
          <w:b/>
          <w:bCs/>
        </w:rPr>
        <w:t>Streamlining Accounting Measurement Options</w:t>
      </w:r>
      <w:r w:rsidRPr="006510A9">
        <w:rPr>
          <w:rFonts w:asciiTheme="majorBidi" w:hAnsiTheme="majorBidi" w:cstheme="majorBidi"/>
        </w:rPr>
        <w:t>: The diverse levels of harmonization observed, particularly in areas like inventory costing and investment property valuation, suggest a need for more streamlined and uniform accounting practices. By reducing the range of permissible methods, especially in areas with low harmonization, financial reporting can achieve greater comparability and reliability. This recommendation is particularly relevant in the context of global investment and financial analysis, where inconsistency in accounting practices can lead to misunderstandings or misinterpretations of financial health and performance.</w:t>
      </w:r>
    </w:p>
    <w:p w14:paraId="7CE7CCEE" w14:textId="77777777" w:rsidR="009A13BB" w:rsidRPr="006510A9" w:rsidRDefault="009A13BB" w:rsidP="009A13BB">
      <w:pPr>
        <w:numPr>
          <w:ilvl w:val="0"/>
          <w:numId w:val="34"/>
        </w:numPr>
        <w:bidi w:val="0"/>
        <w:spacing w:after="160" w:line="259" w:lineRule="auto"/>
        <w:jc w:val="both"/>
        <w:rPr>
          <w:rFonts w:asciiTheme="majorBidi" w:hAnsiTheme="majorBidi" w:cstheme="majorBidi"/>
        </w:rPr>
      </w:pPr>
      <w:r w:rsidRPr="006510A9">
        <w:rPr>
          <w:rFonts w:asciiTheme="majorBidi" w:hAnsiTheme="majorBidi" w:cstheme="majorBidi"/>
          <w:b/>
          <w:bCs/>
        </w:rPr>
        <w:t>Aligning Local Standards with IFRS</w:t>
      </w:r>
      <w:r w:rsidRPr="006510A9">
        <w:rPr>
          <w:rFonts w:asciiTheme="majorBidi" w:hAnsiTheme="majorBidi" w:cstheme="majorBidi"/>
        </w:rPr>
        <w:t>: The mixed impact of IFRS adoption on harmonization levels underscores the delicate balance between global standardization and local relevance. For countries like Egypt and Saudi Arabia, which primarily use local standards, aligning more closely with IFRS could bridge gaps in harmonization, especially in the context of international trade and investment. This alignment should be approached with sensitivity to local economic conditions and regulatory needs, ensuring that the adoption of IFRS complements rather than overrides regional specificities.</w:t>
      </w:r>
    </w:p>
    <w:p w14:paraId="63ADB43B" w14:textId="77777777" w:rsidR="009A13BB" w:rsidRPr="006510A9" w:rsidRDefault="009A13BB" w:rsidP="009A13BB">
      <w:pPr>
        <w:numPr>
          <w:ilvl w:val="0"/>
          <w:numId w:val="34"/>
        </w:numPr>
        <w:bidi w:val="0"/>
        <w:spacing w:after="160" w:line="259" w:lineRule="auto"/>
        <w:rPr>
          <w:rFonts w:asciiTheme="majorBidi" w:hAnsiTheme="majorBidi" w:cstheme="majorBidi"/>
        </w:rPr>
      </w:pPr>
      <w:r w:rsidRPr="006510A9">
        <w:rPr>
          <w:rFonts w:asciiTheme="majorBidi" w:hAnsiTheme="majorBidi" w:cstheme="majorBidi"/>
          <w:b/>
          <w:bCs/>
        </w:rPr>
        <w:t>Acknowledging Diversity in Financial Analysis</w:t>
      </w:r>
      <w:r w:rsidRPr="006510A9">
        <w:rPr>
          <w:rFonts w:asciiTheme="majorBidi" w:hAnsiTheme="majorBidi" w:cstheme="majorBidi"/>
        </w:rPr>
        <w:t>: The variability in accounting practices across different regions necessitates a more informed and adaptable approach to financial analysis. Analysts and investors should be equipped to recognize and adjust for these variations, ensuring that their evaluations and decisions are based on an accurate understanding of different accounting practices. This recommendation is vital for fostering informed investment decisions and accurate market assessments in a globalized economic landscape.</w:t>
      </w:r>
    </w:p>
    <w:p w14:paraId="19E81952" w14:textId="77777777" w:rsidR="009A13BB" w:rsidRPr="006510A9" w:rsidRDefault="009A13BB" w:rsidP="009A13BB">
      <w:pPr>
        <w:numPr>
          <w:ilvl w:val="0"/>
          <w:numId w:val="34"/>
        </w:numPr>
        <w:bidi w:val="0"/>
        <w:spacing w:after="160" w:line="259" w:lineRule="auto"/>
        <w:rPr>
          <w:rFonts w:asciiTheme="majorBidi" w:hAnsiTheme="majorBidi" w:cstheme="majorBidi"/>
        </w:rPr>
      </w:pPr>
      <w:r w:rsidRPr="006510A9">
        <w:rPr>
          <w:rFonts w:asciiTheme="majorBidi" w:hAnsiTheme="majorBidi" w:cstheme="majorBidi"/>
          <w:b/>
          <w:bCs/>
        </w:rPr>
        <w:t>Expanding the Scope of Research</w:t>
      </w:r>
      <w:r w:rsidRPr="006510A9">
        <w:rPr>
          <w:rFonts w:asciiTheme="majorBidi" w:hAnsiTheme="majorBidi" w:cstheme="majorBidi"/>
        </w:rPr>
        <w:t xml:space="preserve">: Given the dynamic nature of global accounting practices, there is a clear need for ongoing research in this field. Future studies should </w:t>
      </w:r>
      <w:r w:rsidRPr="006510A9">
        <w:rPr>
          <w:rFonts w:asciiTheme="majorBidi" w:hAnsiTheme="majorBidi" w:cstheme="majorBidi"/>
        </w:rPr>
        <w:lastRenderedPageBreak/>
        <w:t>expand to include a broader range of countries and regions, particularly those not extensively covered in existing literature. This expansion would provide a more comprehensive understanding of global harmonization challenges and opportunities, informing future policy and standard-setting initiatives. Such research is crucial not only for academic enrichment but also for providing practical insights to policymakers and standard-setters as they navigate the complexities of global accounting harmonization.</w:t>
      </w:r>
    </w:p>
    <w:p w14:paraId="7820291D" w14:textId="77777777" w:rsidR="009A13BB" w:rsidRDefault="009A13BB" w:rsidP="009A13BB">
      <w:pPr>
        <w:spacing w:line="360" w:lineRule="auto"/>
        <w:jc w:val="right"/>
        <w:rPr>
          <w:rFonts w:asciiTheme="majorBidi" w:hAnsiTheme="majorBidi" w:cstheme="majorBidi"/>
          <w:lang w:bidi="ar-JO"/>
        </w:rPr>
      </w:pPr>
    </w:p>
    <w:p w14:paraId="3F8E6B7B" w14:textId="77777777" w:rsidR="00B80810" w:rsidRDefault="00B80810" w:rsidP="009A13BB">
      <w:pPr>
        <w:spacing w:line="360" w:lineRule="auto"/>
        <w:jc w:val="right"/>
        <w:rPr>
          <w:rFonts w:asciiTheme="majorBidi" w:hAnsiTheme="majorBidi" w:cstheme="majorBidi"/>
          <w:lang w:bidi="ar-JO"/>
        </w:rPr>
      </w:pPr>
    </w:p>
    <w:p w14:paraId="0EC1EAD7" w14:textId="77777777" w:rsidR="00B80810" w:rsidRDefault="00B80810" w:rsidP="009A13BB">
      <w:pPr>
        <w:spacing w:line="360" w:lineRule="auto"/>
        <w:jc w:val="right"/>
        <w:rPr>
          <w:rFonts w:asciiTheme="majorBidi" w:hAnsiTheme="majorBidi" w:cstheme="majorBidi"/>
          <w:lang w:bidi="ar-JO"/>
        </w:rPr>
      </w:pPr>
    </w:p>
    <w:p w14:paraId="7A9007DA" w14:textId="77777777" w:rsidR="00B80810" w:rsidRDefault="00B80810" w:rsidP="009A13BB">
      <w:pPr>
        <w:spacing w:line="360" w:lineRule="auto"/>
        <w:jc w:val="right"/>
        <w:rPr>
          <w:rFonts w:asciiTheme="majorBidi" w:hAnsiTheme="majorBidi" w:cstheme="majorBidi"/>
          <w:lang w:bidi="ar-JO"/>
        </w:rPr>
      </w:pPr>
    </w:p>
    <w:p w14:paraId="08815965" w14:textId="77777777" w:rsidR="00B80810" w:rsidRDefault="00B80810" w:rsidP="009A13BB">
      <w:pPr>
        <w:spacing w:line="360" w:lineRule="auto"/>
        <w:jc w:val="right"/>
        <w:rPr>
          <w:rFonts w:asciiTheme="majorBidi" w:hAnsiTheme="majorBidi" w:cstheme="majorBidi"/>
          <w:lang w:bidi="ar-JO"/>
        </w:rPr>
      </w:pPr>
    </w:p>
    <w:p w14:paraId="2A998962" w14:textId="77777777" w:rsidR="00B80810" w:rsidRDefault="00B80810" w:rsidP="009A13BB">
      <w:pPr>
        <w:spacing w:line="360" w:lineRule="auto"/>
        <w:jc w:val="right"/>
        <w:rPr>
          <w:rFonts w:asciiTheme="majorBidi" w:hAnsiTheme="majorBidi" w:cstheme="majorBidi"/>
          <w:lang w:bidi="ar-JO"/>
        </w:rPr>
      </w:pPr>
    </w:p>
    <w:p w14:paraId="09354FA1" w14:textId="77777777" w:rsidR="00B80810" w:rsidRDefault="00B80810" w:rsidP="009A13BB">
      <w:pPr>
        <w:spacing w:line="360" w:lineRule="auto"/>
        <w:jc w:val="right"/>
        <w:rPr>
          <w:rFonts w:asciiTheme="majorBidi" w:hAnsiTheme="majorBidi" w:cstheme="majorBidi"/>
          <w:lang w:bidi="ar-JO"/>
        </w:rPr>
      </w:pPr>
    </w:p>
    <w:p w14:paraId="77883296" w14:textId="77777777" w:rsidR="00B80810" w:rsidRDefault="00B80810" w:rsidP="009A13BB">
      <w:pPr>
        <w:spacing w:line="360" w:lineRule="auto"/>
        <w:jc w:val="right"/>
        <w:rPr>
          <w:rFonts w:asciiTheme="majorBidi" w:hAnsiTheme="majorBidi" w:cstheme="majorBidi"/>
          <w:lang w:bidi="ar-JO"/>
        </w:rPr>
      </w:pPr>
    </w:p>
    <w:p w14:paraId="702290DB" w14:textId="77777777" w:rsidR="00B80810" w:rsidRDefault="00B80810" w:rsidP="009A13BB">
      <w:pPr>
        <w:spacing w:line="360" w:lineRule="auto"/>
        <w:jc w:val="right"/>
        <w:rPr>
          <w:rFonts w:asciiTheme="majorBidi" w:hAnsiTheme="majorBidi" w:cstheme="majorBidi"/>
          <w:lang w:bidi="ar-JO"/>
        </w:rPr>
      </w:pPr>
    </w:p>
    <w:p w14:paraId="4698AF8D" w14:textId="77777777" w:rsidR="00B80810" w:rsidRDefault="00B80810" w:rsidP="009A13BB">
      <w:pPr>
        <w:spacing w:line="360" w:lineRule="auto"/>
        <w:jc w:val="right"/>
        <w:rPr>
          <w:rFonts w:asciiTheme="majorBidi" w:hAnsiTheme="majorBidi" w:cstheme="majorBidi"/>
          <w:lang w:bidi="ar-JO"/>
        </w:rPr>
      </w:pPr>
    </w:p>
    <w:p w14:paraId="3933D3B1" w14:textId="77777777" w:rsidR="00B80810" w:rsidRDefault="00B80810" w:rsidP="009A13BB">
      <w:pPr>
        <w:spacing w:line="360" w:lineRule="auto"/>
        <w:jc w:val="right"/>
        <w:rPr>
          <w:rFonts w:asciiTheme="majorBidi" w:hAnsiTheme="majorBidi" w:cstheme="majorBidi"/>
          <w:lang w:bidi="ar-JO"/>
        </w:rPr>
      </w:pPr>
    </w:p>
    <w:p w14:paraId="6AEC782D" w14:textId="77777777" w:rsidR="00B80810" w:rsidRDefault="00B80810" w:rsidP="009A13BB">
      <w:pPr>
        <w:spacing w:line="360" w:lineRule="auto"/>
        <w:jc w:val="right"/>
        <w:rPr>
          <w:rFonts w:asciiTheme="majorBidi" w:hAnsiTheme="majorBidi" w:cstheme="majorBidi"/>
          <w:lang w:bidi="ar-JO"/>
        </w:rPr>
      </w:pPr>
    </w:p>
    <w:p w14:paraId="6FFDAE61" w14:textId="77777777" w:rsidR="00B80810" w:rsidRDefault="00B80810" w:rsidP="009A13BB">
      <w:pPr>
        <w:spacing w:line="360" w:lineRule="auto"/>
        <w:jc w:val="right"/>
        <w:rPr>
          <w:rFonts w:asciiTheme="majorBidi" w:hAnsiTheme="majorBidi" w:cstheme="majorBidi"/>
          <w:lang w:bidi="ar-JO"/>
        </w:rPr>
      </w:pPr>
    </w:p>
    <w:p w14:paraId="1437C274" w14:textId="77777777" w:rsidR="00B80810" w:rsidRDefault="00B80810" w:rsidP="009A13BB">
      <w:pPr>
        <w:spacing w:line="360" w:lineRule="auto"/>
        <w:jc w:val="right"/>
        <w:rPr>
          <w:rFonts w:asciiTheme="majorBidi" w:hAnsiTheme="majorBidi" w:cstheme="majorBidi"/>
          <w:lang w:bidi="ar-JO"/>
        </w:rPr>
      </w:pPr>
    </w:p>
    <w:p w14:paraId="352E66B1" w14:textId="77777777" w:rsidR="00B80810" w:rsidRDefault="00B80810" w:rsidP="009A13BB">
      <w:pPr>
        <w:spacing w:line="360" w:lineRule="auto"/>
        <w:jc w:val="right"/>
        <w:rPr>
          <w:rFonts w:asciiTheme="majorBidi" w:hAnsiTheme="majorBidi" w:cstheme="majorBidi"/>
          <w:lang w:bidi="ar-JO"/>
        </w:rPr>
      </w:pPr>
    </w:p>
    <w:p w14:paraId="6AB00B87" w14:textId="77777777" w:rsidR="00B80810" w:rsidRDefault="00B80810" w:rsidP="009A13BB">
      <w:pPr>
        <w:spacing w:line="360" w:lineRule="auto"/>
        <w:jc w:val="right"/>
        <w:rPr>
          <w:rFonts w:asciiTheme="majorBidi" w:hAnsiTheme="majorBidi" w:cstheme="majorBidi"/>
          <w:lang w:bidi="ar-JO"/>
        </w:rPr>
      </w:pPr>
    </w:p>
    <w:p w14:paraId="53B2F20B" w14:textId="77777777" w:rsidR="00B80810" w:rsidRDefault="00B80810" w:rsidP="009A13BB">
      <w:pPr>
        <w:spacing w:line="360" w:lineRule="auto"/>
        <w:jc w:val="right"/>
        <w:rPr>
          <w:rFonts w:asciiTheme="majorBidi" w:hAnsiTheme="majorBidi" w:cstheme="majorBidi"/>
          <w:lang w:bidi="ar-JO"/>
        </w:rPr>
      </w:pPr>
    </w:p>
    <w:p w14:paraId="7B3DE857" w14:textId="77777777" w:rsidR="00B80810" w:rsidRDefault="00B80810" w:rsidP="009A13BB">
      <w:pPr>
        <w:spacing w:line="360" w:lineRule="auto"/>
        <w:jc w:val="right"/>
        <w:rPr>
          <w:rFonts w:asciiTheme="majorBidi" w:hAnsiTheme="majorBidi" w:cstheme="majorBidi"/>
          <w:lang w:bidi="ar-JO"/>
        </w:rPr>
      </w:pPr>
    </w:p>
    <w:p w14:paraId="5D1A2F24" w14:textId="77777777" w:rsidR="00B80810" w:rsidRDefault="00B80810" w:rsidP="009A13BB">
      <w:pPr>
        <w:spacing w:line="360" w:lineRule="auto"/>
        <w:jc w:val="right"/>
        <w:rPr>
          <w:rFonts w:asciiTheme="majorBidi" w:hAnsiTheme="majorBidi" w:cstheme="majorBidi"/>
          <w:lang w:bidi="ar-JO"/>
        </w:rPr>
      </w:pPr>
    </w:p>
    <w:p w14:paraId="258E52D0" w14:textId="77777777" w:rsidR="00B80810" w:rsidRDefault="00B80810" w:rsidP="009A13BB">
      <w:pPr>
        <w:spacing w:line="360" w:lineRule="auto"/>
        <w:jc w:val="right"/>
        <w:rPr>
          <w:rFonts w:asciiTheme="majorBidi" w:hAnsiTheme="majorBidi" w:cstheme="majorBidi"/>
          <w:lang w:bidi="ar-JO"/>
        </w:rPr>
      </w:pPr>
    </w:p>
    <w:p w14:paraId="3C1E4242" w14:textId="77777777" w:rsidR="00B80810" w:rsidRPr="00126423" w:rsidRDefault="00B80810" w:rsidP="009A13BB">
      <w:pPr>
        <w:spacing w:line="360" w:lineRule="auto"/>
        <w:jc w:val="right"/>
        <w:rPr>
          <w:rFonts w:asciiTheme="majorBidi" w:hAnsiTheme="majorBidi" w:cstheme="majorBidi"/>
          <w:lang w:bidi="ar-JO"/>
        </w:rPr>
      </w:pPr>
    </w:p>
    <w:p w14:paraId="04D644EF" w14:textId="77777777" w:rsidR="009A13BB" w:rsidRPr="00BD08A1" w:rsidRDefault="009A13BB" w:rsidP="009A13BB">
      <w:pPr>
        <w:pStyle w:val="Bibliography"/>
        <w:bidi w:val="0"/>
        <w:spacing w:line="360" w:lineRule="auto"/>
        <w:rPr>
          <w:rFonts w:asciiTheme="majorBidi" w:hAnsiTheme="majorBidi" w:cstheme="majorBidi"/>
        </w:rPr>
      </w:pPr>
      <w:r>
        <w:rPr>
          <w:rFonts w:asciiTheme="majorBidi" w:hAnsiTheme="majorBidi" w:cstheme="majorBidi"/>
        </w:rPr>
        <w:lastRenderedPageBreak/>
        <w:t>References</w:t>
      </w:r>
    </w:p>
    <w:p w14:paraId="2B1F40FE" w14:textId="77777777" w:rsidR="009A13BB" w:rsidRDefault="009A13BB" w:rsidP="009A13BB">
      <w:pPr>
        <w:pStyle w:val="Bibliography"/>
        <w:bidi w:val="0"/>
        <w:ind w:left="720" w:hanging="720"/>
        <w:rPr>
          <w:noProof/>
        </w:rPr>
      </w:pPr>
      <w:r>
        <w:rPr>
          <w:noProof/>
        </w:rPr>
        <w:t xml:space="preserve">Abdel-Azim, M. H. (2007). Accounting Measurement And Disclosure:Choices And Implications From Egypt And The UAE . </w:t>
      </w:r>
      <w:r>
        <w:rPr>
          <w:i/>
          <w:iCs/>
          <w:noProof/>
        </w:rPr>
        <w:t>International Business &amp; Economics Research Journal</w:t>
      </w:r>
      <w:r>
        <w:rPr>
          <w:noProof/>
        </w:rPr>
        <w:t>, Volume 6, Number 9.</w:t>
      </w:r>
    </w:p>
    <w:p w14:paraId="690D24A4" w14:textId="77777777" w:rsidR="009A13BB" w:rsidRDefault="009A13BB" w:rsidP="009A13BB">
      <w:pPr>
        <w:pStyle w:val="Bibliography"/>
        <w:bidi w:val="0"/>
        <w:ind w:left="720" w:hanging="720"/>
        <w:rPr>
          <w:noProof/>
        </w:rPr>
      </w:pPr>
      <w:r>
        <w:rPr>
          <w:noProof/>
        </w:rPr>
        <w:t xml:space="preserve">Ahmed, K., &amp; Ali, M. J. (2015). Has the harmonisation of accounting practices improved? Evidence from South Asia. </w:t>
      </w:r>
      <w:r>
        <w:rPr>
          <w:i/>
          <w:iCs/>
          <w:noProof/>
        </w:rPr>
        <w:t>International Journal of Accounting &amp; Information Management</w:t>
      </w:r>
      <w:r>
        <w:rPr>
          <w:noProof/>
        </w:rPr>
        <w:t>, Vol. 23 Issue: 4, pp.327-348.</w:t>
      </w:r>
    </w:p>
    <w:p w14:paraId="384395A6" w14:textId="77777777" w:rsidR="009A13BB" w:rsidRDefault="009A13BB" w:rsidP="009A13BB">
      <w:pPr>
        <w:pStyle w:val="Bibliography"/>
        <w:bidi w:val="0"/>
        <w:ind w:left="720" w:hanging="720"/>
        <w:rPr>
          <w:noProof/>
        </w:rPr>
      </w:pPr>
      <w:r>
        <w:rPr>
          <w:noProof/>
        </w:rPr>
        <w:t xml:space="preserve">Aisbitt, S. (2001). Measurement of harmony of nancial reporting within and between countries: the case of the Nordic countries. </w:t>
      </w:r>
      <w:r>
        <w:rPr>
          <w:i/>
          <w:iCs/>
          <w:noProof/>
        </w:rPr>
        <w:t>The European Accounting Review</w:t>
      </w:r>
      <w:r>
        <w:rPr>
          <w:noProof/>
        </w:rPr>
        <w:t>, 51-71.</w:t>
      </w:r>
    </w:p>
    <w:p w14:paraId="13D0D4A1" w14:textId="77777777" w:rsidR="009A13BB" w:rsidRDefault="009A13BB" w:rsidP="009A13BB">
      <w:pPr>
        <w:pStyle w:val="Bibliography"/>
        <w:bidi w:val="0"/>
        <w:ind w:left="720" w:hanging="720"/>
        <w:rPr>
          <w:noProof/>
        </w:rPr>
      </w:pPr>
      <w:r>
        <w:rPr>
          <w:noProof/>
        </w:rPr>
        <w:t xml:space="preserve">Ali, M. J., Ahmed, K., &amp; Henry, D. (2006). Harmonization of Accounting Measurement Practices in South Asia. </w:t>
      </w:r>
      <w:r>
        <w:rPr>
          <w:i/>
          <w:iCs/>
          <w:noProof/>
        </w:rPr>
        <w:t>Advances in International Accounting</w:t>
      </w:r>
      <w:r>
        <w:rPr>
          <w:noProof/>
        </w:rPr>
        <w:t>, 25-58.</w:t>
      </w:r>
    </w:p>
    <w:p w14:paraId="4D79D75D" w14:textId="77777777" w:rsidR="009A13BB" w:rsidRDefault="009A13BB" w:rsidP="009A13BB">
      <w:pPr>
        <w:pStyle w:val="Bibliography"/>
        <w:bidi w:val="0"/>
        <w:ind w:left="720" w:hanging="720"/>
        <w:rPr>
          <w:noProof/>
        </w:rPr>
      </w:pPr>
      <w:r>
        <w:rPr>
          <w:noProof/>
        </w:rPr>
        <w:t xml:space="preserve">Alia, M., &amp; Branson, J. (2011). The effect of environmental factors on accounting diversity A Literature Review. </w:t>
      </w:r>
      <w:r>
        <w:rPr>
          <w:i/>
          <w:iCs/>
          <w:noProof/>
        </w:rPr>
        <w:t>SSRN</w:t>
      </w:r>
      <w:r>
        <w:rPr>
          <w:noProof/>
        </w:rPr>
        <w:t>, SSRN: https://ssrn.com/abstract=1780479 or http://dx.doi.org/10.2139/ssrn.1780479.</w:t>
      </w:r>
    </w:p>
    <w:p w14:paraId="5647F170" w14:textId="77777777" w:rsidR="009A13BB" w:rsidRDefault="009A13BB" w:rsidP="009A13BB">
      <w:pPr>
        <w:pStyle w:val="Bibliography"/>
        <w:bidi w:val="0"/>
        <w:ind w:left="720" w:hanging="720"/>
        <w:rPr>
          <w:noProof/>
        </w:rPr>
      </w:pPr>
      <w:r>
        <w:rPr>
          <w:noProof/>
        </w:rPr>
        <w:t xml:space="preserve">Archer, S., Delvaille, P., &amp; McLeay, S. (1995). The Measurement of Harmonization and the Comparability of Financial Statement Items: Within-- Country and Between-Country Effects. </w:t>
      </w:r>
      <w:r>
        <w:rPr>
          <w:i/>
          <w:iCs/>
          <w:noProof/>
        </w:rPr>
        <w:t>Accounting and Business Research</w:t>
      </w:r>
      <w:r>
        <w:rPr>
          <w:noProof/>
        </w:rPr>
        <w:t>, pp. 67-80.</w:t>
      </w:r>
    </w:p>
    <w:p w14:paraId="210629AF" w14:textId="77777777" w:rsidR="009A13BB" w:rsidRDefault="009A13BB" w:rsidP="009A13BB">
      <w:pPr>
        <w:pStyle w:val="Bibliography"/>
        <w:bidi w:val="0"/>
        <w:ind w:left="720" w:hanging="720"/>
        <w:rPr>
          <w:noProof/>
        </w:rPr>
      </w:pPr>
      <w:r>
        <w:rPr>
          <w:noProof/>
        </w:rPr>
        <w:t xml:space="preserve">Ball, R. (2016). IFRS – 10 years later. </w:t>
      </w:r>
      <w:r>
        <w:rPr>
          <w:i/>
          <w:iCs/>
          <w:noProof/>
        </w:rPr>
        <w:t>Accounting and Business Research</w:t>
      </w:r>
      <w:r>
        <w:rPr>
          <w:noProof/>
        </w:rPr>
        <w:t>, 545-571.</w:t>
      </w:r>
    </w:p>
    <w:p w14:paraId="0479E9CE" w14:textId="77777777" w:rsidR="009A13BB" w:rsidRDefault="009A13BB" w:rsidP="009A13BB">
      <w:pPr>
        <w:pStyle w:val="Bibliography"/>
        <w:bidi w:val="0"/>
        <w:ind w:left="720" w:hanging="720"/>
        <w:rPr>
          <w:noProof/>
        </w:rPr>
      </w:pPr>
      <w:r>
        <w:rPr>
          <w:noProof/>
        </w:rPr>
        <w:t xml:space="preserve">Barth, E., Mary, W. R., &amp; Lang, M. H. (2008). International Accounting Standards and Accounting Quality. </w:t>
      </w:r>
      <w:r>
        <w:rPr>
          <w:i/>
          <w:iCs/>
          <w:noProof/>
        </w:rPr>
        <w:t>Journal of Accounting Research</w:t>
      </w:r>
      <w:r>
        <w:rPr>
          <w:noProof/>
        </w:rPr>
        <w:t>, 467–498.</w:t>
      </w:r>
    </w:p>
    <w:p w14:paraId="540B4566" w14:textId="77777777" w:rsidR="009A13BB" w:rsidRDefault="009A13BB" w:rsidP="009A13BB">
      <w:pPr>
        <w:pStyle w:val="Bibliography"/>
        <w:bidi w:val="0"/>
        <w:ind w:left="720" w:hanging="720"/>
        <w:rPr>
          <w:noProof/>
        </w:rPr>
      </w:pPr>
      <w:r>
        <w:rPr>
          <w:noProof/>
        </w:rPr>
        <w:t xml:space="preserve">Barth, M. E., Landsman, W. R., Lang, M., &amp; Williams, C. (2012). Are IFRS-based and US GAAP-based amounts comparable? . </w:t>
      </w:r>
      <w:r>
        <w:rPr>
          <w:i/>
          <w:iCs/>
          <w:noProof/>
        </w:rPr>
        <w:t>Journal of Accounting and Economics</w:t>
      </w:r>
      <w:r>
        <w:rPr>
          <w:noProof/>
        </w:rPr>
        <w:t>, 54(1): 68-93.</w:t>
      </w:r>
    </w:p>
    <w:p w14:paraId="4F72316C" w14:textId="77777777" w:rsidR="009A13BB" w:rsidRDefault="009A13BB" w:rsidP="009A13BB">
      <w:pPr>
        <w:pStyle w:val="Bibliography"/>
        <w:bidi w:val="0"/>
        <w:ind w:left="720" w:hanging="720"/>
        <w:rPr>
          <w:noProof/>
        </w:rPr>
      </w:pPr>
      <w:r>
        <w:rPr>
          <w:noProof/>
        </w:rPr>
        <w:t xml:space="preserve">Basoglu, B., &amp; Goma, A. (2002). </w:t>
      </w:r>
      <w:r>
        <w:rPr>
          <w:i/>
          <w:iCs/>
          <w:noProof/>
        </w:rPr>
        <w:t>International Accounting Standards and Selected Middle East Stock Exchanges.</w:t>
      </w:r>
      <w:r>
        <w:rPr>
          <w:noProof/>
        </w:rPr>
        <w:t xml:space="preserve"> Loyola University Chicago.</w:t>
      </w:r>
    </w:p>
    <w:p w14:paraId="6ADECE21" w14:textId="77777777" w:rsidR="009A13BB" w:rsidRDefault="009A13BB" w:rsidP="009A13BB">
      <w:pPr>
        <w:pStyle w:val="Bibliography"/>
        <w:bidi w:val="0"/>
        <w:ind w:left="720" w:hanging="720"/>
        <w:rPr>
          <w:noProof/>
        </w:rPr>
      </w:pPr>
      <w:r>
        <w:rPr>
          <w:noProof/>
        </w:rPr>
        <w:t xml:space="preserve">Berton, L. (1999). Countdown to harmonization. </w:t>
      </w:r>
      <w:r>
        <w:rPr>
          <w:i/>
          <w:iCs/>
          <w:noProof/>
        </w:rPr>
        <w:t>Institutional Investor</w:t>
      </w:r>
      <w:r>
        <w:rPr>
          <w:noProof/>
        </w:rPr>
        <w:t>, 34-35.</w:t>
      </w:r>
    </w:p>
    <w:p w14:paraId="0096B649" w14:textId="77777777" w:rsidR="009A13BB" w:rsidRDefault="009A13BB" w:rsidP="009A13BB">
      <w:pPr>
        <w:pStyle w:val="Bibliography"/>
        <w:bidi w:val="0"/>
        <w:ind w:left="720" w:hanging="720"/>
        <w:rPr>
          <w:noProof/>
        </w:rPr>
      </w:pPr>
      <w:r>
        <w:rPr>
          <w:noProof/>
        </w:rPr>
        <w:t xml:space="preserve">Bragg, S. (2018). </w:t>
      </w:r>
      <w:r>
        <w:rPr>
          <w:i/>
          <w:iCs/>
          <w:noProof/>
        </w:rPr>
        <w:t>Inventory valuation.</w:t>
      </w:r>
      <w:r>
        <w:rPr>
          <w:noProof/>
        </w:rPr>
        <w:t xml:space="preserve"> Accounting Tools.</w:t>
      </w:r>
    </w:p>
    <w:p w14:paraId="30DBD062" w14:textId="77777777" w:rsidR="009A13BB" w:rsidRDefault="009A13BB" w:rsidP="009A13BB">
      <w:pPr>
        <w:pStyle w:val="Bibliography"/>
        <w:bidi w:val="0"/>
        <w:ind w:left="720" w:hanging="720"/>
        <w:rPr>
          <w:noProof/>
        </w:rPr>
      </w:pPr>
      <w:r>
        <w:rPr>
          <w:noProof/>
        </w:rPr>
        <w:t xml:space="preserve">Callao, S., Ferrer, C., Jarne, J. I., &amp; Lainez, J. A. (2009). The impact of IFRS on the European Union: Is it related to the accounting tradition of the countries? </w:t>
      </w:r>
      <w:r>
        <w:rPr>
          <w:i/>
          <w:iCs/>
          <w:noProof/>
        </w:rPr>
        <w:t>Journal of Applied Accounting Research</w:t>
      </w:r>
      <w:r>
        <w:rPr>
          <w:noProof/>
        </w:rPr>
        <w:t>, Vol. 10 Issue: 1, pp.33-55.</w:t>
      </w:r>
    </w:p>
    <w:p w14:paraId="7BD60C7A" w14:textId="77777777" w:rsidR="009A13BB" w:rsidRDefault="009A13BB" w:rsidP="009A13BB">
      <w:pPr>
        <w:pStyle w:val="Bibliography"/>
        <w:bidi w:val="0"/>
        <w:ind w:left="720" w:hanging="720"/>
        <w:rPr>
          <w:noProof/>
        </w:rPr>
      </w:pPr>
      <w:r>
        <w:rPr>
          <w:noProof/>
        </w:rPr>
        <w:t xml:space="preserve">Canibano, L. a. (2000). Evaluating the Statistical Signiﬁcance of de Facto Accounting Harmonization: A Study of European Global Players. </w:t>
      </w:r>
      <w:r>
        <w:rPr>
          <w:i/>
          <w:iCs/>
          <w:noProof/>
        </w:rPr>
        <w:t>European Accounting Review</w:t>
      </w:r>
      <w:r>
        <w:rPr>
          <w:noProof/>
        </w:rPr>
        <w:t>, Vol. 9, No. 3.</w:t>
      </w:r>
    </w:p>
    <w:p w14:paraId="5DA99799" w14:textId="77777777" w:rsidR="009A13BB" w:rsidRDefault="009A13BB" w:rsidP="009A13BB">
      <w:pPr>
        <w:pStyle w:val="Bibliography"/>
        <w:bidi w:val="0"/>
        <w:ind w:left="720" w:hanging="720"/>
        <w:rPr>
          <w:noProof/>
        </w:rPr>
      </w:pPr>
      <w:r>
        <w:rPr>
          <w:noProof/>
        </w:rPr>
        <w:t xml:space="preserve">Catuogno, S. a. (2011). Multiple evaluation options &amp; comparability: equity nvestments in Italy and Spain. </w:t>
      </w:r>
      <w:r>
        <w:rPr>
          <w:i/>
          <w:iCs/>
          <w:noProof/>
        </w:rPr>
        <w:t>Accounting and Management Information Systems</w:t>
      </w:r>
      <w:r>
        <w:rPr>
          <w:noProof/>
        </w:rPr>
        <w:t>, 249-274.</w:t>
      </w:r>
    </w:p>
    <w:p w14:paraId="4E29A0C6" w14:textId="77777777" w:rsidR="009A13BB" w:rsidRDefault="009A13BB" w:rsidP="009A13BB">
      <w:pPr>
        <w:pStyle w:val="Bibliography"/>
        <w:bidi w:val="0"/>
        <w:ind w:left="720" w:hanging="720"/>
        <w:rPr>
          <w:noProof/>
        </w:rPr>
      </w:pPr>
      <w:r>
        <w:rPr>
          <w:noProof/>
        </w:rPr>
        <w:lastRenderedPageBreak/>
        <w:t xml:space="preserve">Chairas, I. Y., &amp; Radianto, W. E. (2001). Accounting Harmonization in ASEAN The Process, Benefits and Obstacles. </w:t>
      </w:r>
      <w:r>
        <w:rPr>
          <w:i/>
          <w:iCs/>
          <w:noProof/>
        </w:rPr>
        <w:t>International Accounting and Finance</w:t>
      </w:r>
      <w:r>
        <w:rPr>
          <w:noProof/>
        </w:rPr>
        <w:t>.</w:t>
      </w:r>
    </w:p>
    <w:p w14:paraId="2E099DC1" w14:textId="77777777" w:rsidR="009A13BB" w:rsidRDefault="009A13BB" w:rsidP="009A13BB">
      <w:pPr>
        <w:pStyle w:val="Bibliography"/>
        <w:bidi w:val="0"/>
        <w:ind w:left="720" w:hanging="720"/>
        <w:rPr>
          <w:noProof/>
        </w:rPr>
      </w:pPr>
      <w:r>
        <w:rPr>
          <w:noProof/>
        </w:rPr>
        <w:t xml:space="preserve">CHEN, J. (2018). Investment Property. </w:t>
      </w:r>
      <w:r>
        <w:rPr>
          <w:i/>
          <w:iCs/>
          <w:noProof/>
        </w:rPr>
        <w:t>INVESTOPEIA</w:t>
      </w:r>
      <w:r>
        <w:rPr>
          <w:noProof/>
        </w:rPr>
        <w:t>.</w:t>
      </w:r>
    </w:p>
    <w:p w14:paraId="41F5B614" w14:textId="77777777" w:rsidR="009A13BB" w:rsidRDefault="009A13BB" w:rsidP="009A13BB">
      <w:pPr>
        <w:pStyle w:val="Bibliography"/>
        <w:bidi w:val="0"/>
        <w:ind w:left="720" w:hanging="720"/>
        <w:rPr>
          <w:noProof/>
        </w:rPr>
      </w:pPr>
      <w:r>
        <w:rPr>
          <w:noProof/>
        </w:rPr>
        <w:t xml:space="preserve">Chen, S., sun, Z., &amp; wang, Y. (2002). Evidence from China on whether Harmonized Accounting standars Harmonize Accounting practices. </w:t>
      </w:r>
      <w:r>
        <w:rPr>
          <w:i/>
          <w:iCs/>
          <w:noProof/>
        </w:rPr>
        <w:t>Accounting Horizons</w:t>
      </w:r>
      <w:r>
        <w:rPr>
          <w:noProof/>
        </w:rPr>
        <w:t>, 183-197.</w:t>
      </w:r>
    </w:p>
    <w:p w14:paraId="0A56E341" w14:textId="77777777" w:rsidR="009A13BB" w:rsidRDefault="009A13BB" w:rsidP="009A13BB">
      <w:pPr>
        <w:pStyle w:val="Bibliography"/>
        <w:bidi w:val="0"/>
        <w:ind w:left="720" w:hanging="720"/>
        <w:rPr>
          <w:noProof/>
        </w:rPr>
      </w:pPr>
      <w:r>
        <w:rPr>
          <w:noProof/>
        </w:rPr>
        <w:t>Chitt, D. (2015, Jun 17). Financial Reporting Developments in a Middle East Context.</w:t>
      </w:r>
    </w:p>
    <w:p w14:paraId="4258DAC1" w14:textId="77777777" w:rsidR="009A13BB" w:rsidRDefault="009A13BB" w:rsidP="009A13BB">
      <w:pPr>
        <w:pStyle w:val="Bibliography"/>
        <w:bidi w:val="0"/>
        <w:ind w:left="720" w:hanging="720"/>
        <w:rPr>
          <w:noProof/>
        </w:rPr>
      </w:pPr>
      <w:r>
        <w:rPr>
          <w:noProof/>
        </w:rPr>
        <w:t xml:space="preserve">Conceptual Framework, I. (2010). </w:t>
      </w:r>
      <w:r>
        <w:rPr>
          <w:i/>
          <w:iCs/>
          <w:noProof/>
        </w:rPr>
        <w:t>Conceptual Framework for Financial Reporting 2010.</w:t>
      </w:r>
      <w:r>
        <w:rPr>
          <w:noProof/>
        </w:rPr>
        <w:t xml:space="preserve"> IASB.</w:t>
      </w:r>
    </w:p>
    <w:p w14:paraId="65CCE30C" w14:textId="77777777" w:rsidR="009A13BB" w:rsidRDefault="009A13BB" w:rsidP="009A13BB">
      <w:pPr>
        <w:pStyle w:val="Bibliography"/>
        <w:bidi w:val="0"/>
        <w:ind w:left="720" w:hanging="720"/>
        <w:rPr>
          <w:noProof/>
        </w:rPr>
      </w:pPr>
      <w:r>
        <w:rPr>
          <w:noProof/>
        </w:rPr>
        <w:t xml:space="preserve">country economy. (2019, 3 21). </w:t>
      </w:r>
      <w:r>
        <w:rPr>
          <w:i/>
          <w:iCs/>
          <w:noProof/>
        </w:rPr>
        <w:t>Yemen GDP - Gross Domestic Product</w:t>
      </w:r>
      <w:r>
        <w:rPr>
          <w:noProof/>
        </w:rPr>
        <w:t>. Retrieved from https://countryeconomy.com/gdp/yemen</w:t>
      </w:r>
    </w:p>
    <w:p w14:paraId="002F2166" w14:textId="77777777" w:rsidR="009A13BB" w:rsidRDefault="009A13BB" w:rsidP="009A13BB">
      <w:pPr>
        <w:pStyle w:val="Bibliography"/>
        <w:bidi w:val="0"/>
        <w:ind w:left="720" w:hanging="720"/>
        <w:rPr>
          <w:noProof/>
        </w:rPr>
      </w:pPr>
      <w:r w:rsidRPr="00DC0C1C">
        <w:rPr>
          <w:noProof/>
          <w:lang w:val="de-DE"/>
        </w:rPr>
        <w:t xml:space="preserve">De Franco, G., Kothari, S., &amp; R.S., V. (2010). </w:t>
      </w:r>
      <w:r>
        <w:rPr>
          <w:noProof/>
        </w:rPr>
        <w:t xml:space="preserve">The benefit of firm comparability. </w:t>
      </w:r>
      <w:r>
        <w:rPr>
          <w:i/>
          <w:iCs/>
          <w:noProof/>
        </w:rPr>
        <w:t>Massachusetts Institute of Technology</w:t>
      </w:r>
      <w:r>
        <w:rPr>
          <w:noProof/>
        </w:rPr>
        <w:t>.</w:t>
      </w:r>
    </w:p>
    <w:p w14:paraId="2B20F7F5" w14:textId="77777777" w:rsidR="009A13BB" w:rsidRDefault="009A13BB" w:rsidP="009A13BB">
      <w:pPr>
        <w:pStyle w:val="Bibliography"/>
        <w:bidi w:val="0"/>
        <w:ind w:left="720" w:hanging="720"/>
        <w:rPr>
          <w:noProof/>
        </w:rPr>
      </w:pPr>
      <w:r>
        <w:rPr>
          <w:noProof/>
        </w:rPr>
        <w:t xml:space="preserve">Diga, J. (1996). </w:t>
      </w:r>
      <w:r>
        <w:rPr>
          <w:i/>
          <w:iCs/>
          <w:noProof/>
        </w:rPr>
        <w:t>The feasibility and desirability of pursuing accounting harmonization in five ASEAN Countries: a study of corporate financial reporting in Indonesia, Malaysia, the Philippines, Singapore and Thailand.</w:t>
      </w:r>
      <w:r>
        <w:rPr>
          <w:noProof/>
        </w:rPr>
        <w:t xml:space="preserve"> The Australian National University.</w:t>
      </w:r>
    </w:p>
    <w:p w14:paraId="2AD54ACC" w14:textId="77777777" w:rsidR="009A13BB" w:rsidRDefault="009A13BB" w:rsidP="009A13BB">
      <w:pPr>
        <w:pStyle w:val="Bibliography"/>
        <w:bidi w:val="0"/>
        <w:ind w:left="720" w:hanging="720"/>
        <w:rPr>
          <w:noProof/>
        </w:rPr>
      </w:pPr>
      <w:r>
        <w:rPr>
          <w:noProof/>
        </w:rPr>
        <w:t xml:space="preserve">Doni, F., Taplin, R. H., &amp; Verona, R. (2016). Comparability of Company Accounts Using IFRS and US GAAP:Empirical Evidence of European and US Financial. </w:t>
      </w:r>
      <w:r>
        <w:rPr>
          <w:i/>
          <w:iCs/>
          <w:noProof/>
        </w:rPr>
        <w:t>International Journal of Business and Management</w:t>
      </w:r>
      <w:r>
        <w:rPr>
          <w:noProof/>
        </w:rPr>
        <w:t>, Vol. 11, No. 12.</w:t>
      </w:r>
    </w:p>
    <w:p w14:paraId="53A33F56" w14:textId="77777777" w:rsidR="009A13BB" w:rsidRDefault="009A13BB" w:rsidP="009A13BB">
      <w:pPr>
        <w:pStyle w:val="Bibliography"/>
        <w:bidi w:val="0"/>
        <w:ind w:left="720" w:hanging="720"/>
        <w:rPr>
          <w:noProof/>
        </w:rPr>
      </w:pPr>
      <w:r>
        <w:rPr>
          <w:noProof/>
        </w:rPr>
        <w:t xml:space="preserve">Emenyonu, E. N., &amp; Adhikari, A. (1998). </w:t>
      </w:r>
      <w:r>
        <w:rPr>
          <w:i/>
          <w:iCs/>
          <w:noProof/>
        </w:rPr>
        <w:t>Measuring the Degree of International Harmony in Selected Accounting Measurement Practices.</w:t>
      </w:r>
      <w:r>
        <w:rPr>
          <w:noProof/>
        </w:rPr>
        <w:t xml:space="preserve"> WCOB Faculty Publications : Sacred Heart University ,.</w:t>
      </w:r>
    </w:p>
    <w:p w14:paraId="38C1AE2B" w14:textId="77777777" w:rsidR="009A13BB" w:rsidRDefault="009A13BB" w:rsidP="009A13BB">
      <w:pPr>
        <w:pStyle w:val="Bibliography"/>
        <w:bidi w:val="0"/>
        <w:ind w:left="720" w:hanging="720"/>
        <w:rPr>
          <w:noProof/>
        </w:rPr>
      </w:pPr>
      <w:r>
        <w:rPr>
          <w:noProof/>
        </w:rPr>
        <w:t xml:space="preserve">Emenyonu, E., &amp; Gray, S. (1992). EC Accounting Harmonization: An Empirical Study of Measurement Practices in France, Germany, and the UK. </w:t>
      </w:r>
      <w:r>
        <w:rPr>
          <w:i/>
          <w:iCs/>
          <w:noProof/>
        </w:rPr>
        <w:t>Accounting and Business Research</w:t>
      </w:r>
      <w:r>
        <w:rPr>
          <w:noProof/>
        </w:rPr>
        <w:t>, 49-58.</w:t>
      </w:r>
    </w:p>
    <w:p w14:paraId="79437EFC" w14:textId="77777777" w:rsidR="009A13BB" w:rsidRDefault="009A13BB" w:rsidP="009A13BB">
      <w:pPr>
        <w:pStyle w:val="Bibliography"/>
        <w:bidi w:val="0"/>
        <w:ind w:left="720" w:hanging="720"/>
        <w:rPr>
          <w:noProof/>
        </w:rPr>
      </w:pPr>
      <w:r>
        <w:rPr>
          <w:noProof/>
        </w:rPr>
        <w:t xml:space="preserve">Evans, T., &amp; Taylor, M. (1982). Bottom-Line Compliance with the IASC: A Comparative Analysis. </w:t>
      </w:r>
      <w:r>
        <w:rPr>
          <w:i/>
          <w:iCs/>
          <w:noProof/>
        </w:rPr>
        <w:t>International Journal of Accounting</w:t>
      </w:r>
      <w:r>
        <w:rPr>
          <w:noProof/>
        </w:rPr>
        <w:t>, pp. 11928.</w:t>
      </w:r>
    </w:p>
    <w:p w14:paraId="4AB3015F" w14:textId="2CF13BA9" w:rsidR="00FC29C4" w:rsidRPr="00FC29C4" w:rsidRDefault="00FC29C4" w:rsidP="00FC29C4">
      <w:pPr>
        <w:pStyle w:val="Bibliography"/>
        <w:bidi w:val="0"/>
        <w:ind w:left="720" w:hanging="720"/>
        <w:rPr>
          <w:noProof/>
        </w:rPr>
      </w:pPr>
      <w:r w:rsidRPr="00FC29C4">
        <w:rPr>
          <w:noProof/>
        </w:rPr>
        <w:t>Frintrup, M., Schmidthuber, L. and Hilgers, D. (2022) ‘Towards accounting harmonization in Europe: A multinational survey among budget experts’, International Review of Administrative Sciences, 88(2), pp. 390–410. doi:10.1177/0020852320915640.</w:t>
      </w:r>
    </w:p>
    <w:p w14:paraId="2D6B81CF" w14:textId="77777777" w:rsidR="009A13BB" w:rsidRDefault="009A13BB" w:rsidP="009A13BB">
      <w:pPr>
        <w:pStyle w:val="Bibliography"/>
        <w:bidi w:val="0"/>
        <w:ind w:left="720" w:hanging="720"/>
        <w:rPr>
          <w:noProof/>
        </w:rPr>
      </w:pPr>
      <w:r>
        <w:rPr>
          <w:noProof/>
        </w:rPr>
        <w:t xml:space="preserve">Fontes, A., Rodrigues, L. L., &amp; Craig, R. (2005). Measuring Convergence of National Accounting Standards with International Financial Reporting Standards. </w:t>
      </w:r>
      <w:r>
        <w:rPr>
          <w:i/>
          <w:iCs/>
          <w:noProof/>
        </w:rPr>
        <w:t>Accounting Forum</w:t>
      </w:r>
      <w:r>
        <w:rPr>
          <w:noProof/>
        </w:rPr>
        <w:t>, 415-436.</w:t>
      </w:r>
    </w:p>
    <w:p w14:paraId="105FAA35" w14:textId="77777777" w:rsidR="009A13BB" w:rsidRDefault="009A13BB" w:rsidP="009A13BB">
      <w:pPr>
        <w:pStyle w:val="Bibliography"/>
        <w:bidi w:val="0"/>
        <w:ind w:left="720" w:hanging="720"/>
        <w:rPr>
          <w:noProof/>
        </w:rPr>
      </w:pPr>
      <w:r>
        <w:rPr>
          <w:noProof/>
        </w:rPr>
        <w:t xml:space="preserve">Gray, S. J. (1988). Towards a theory of cultural influence on the development of accounting systems internationally. </w:t>
      </w:r>
      <w:r>
        <w:rPr>
          <w:i/>
          <w:iCs/>
          <w:noProof/>
        </w:rPr>
        <w:t>ABACUS</w:t>
      </w:r>
      <w:r>
        <w:rPr>
          <w:noProof/>
        </w:rPr>
        <w:t>, 24, 1-15.</w:t>
      </w:r>
    </w:p>
    <w:p w14:paraId="41117C16" w14:textId="77777777" w:rsidR="009A13BB" w:rsidRDefault="009A13BB" w:rsidP="009A13BB">
      <w:pPr>
        <w:pStyle w:val="Bibliography"/>
        <w:bidi w:val="0"/>
        <w:ind w:left="720" w:hanging="720"/>
        <w:rPr>
          <w:noProof/>
        </w:rPr>
      </w:pPr>
      <w:r>
        <w:rPr>
          <w:noProof/>
        </w:rPr>
        <w:t xml:space="preserve">Halbouni, S. (2006). The Degree of Harmonization of Accounting Practices Within Saudi Arabia. </w:t>
      </w:r>
      <w:r>
        <w:rPr>
          <w:i/>
          <w:iCs/>
          <w:noProof/>
        </w:rPr>
        <w:t>Journal of Economic &amp; Administrative Sciences</w:t>
      </w:r>
      <w:r>
        <w:rPr>
          <w:noProof/>
        </w:rPr>
        <w:t>, Vol. 22, No. 2 51 -76.</w:t>
      </w:r>
    </w:p>
    <w:p w14:paraId="56D220BF" w14:textId="77777777" w:rsidR="009A13BB" w:rsidRDefault="009A13BB" w:rsidP="009A13BB">
      <w:pPr>
        <w:pStyle w:val="Bibliography"/>
        <w:bidi w:val="0"/>
        <w:ind w:left="720" w:hanging="720"/>
        <w:rPr>
          <w:noProof/>
        </w:rPr>
      </w:pPr>
      <w:r>
        <w:rPr>
          <w:noProof/>
        </w:rPr>
        <w:lastRenderedPageBreak/>
        <w:t xml:space="preserve">Herrmann, D., &amp; Thomas, W. (1995). Harmonization of accounting measurement practices in the European community. </w:t>
      </w:r>
      <w:r>
        <w:rPr>
          <w:i/>
          <w:iCs/>
          <w:noProof/>
        </w:rPr>
        <w:t>Accounting and Business Research</w:t>
      </w:r>
      <w:r>
        <w:rPr>
          <w:noProof/>
        </w:rPr>
        <w:t>, Vol. 25 No. 100, pp. 253-265.</w:t>
      </w:r>
    </w:p>
    <w:p w14:paraId="563F2789" w14:textId="77777777" w:rsidR="009A13BB" w:rsidRDefault="009A13BB" w:rsidP="009A13BB">
      <w:pPr>
        <w:pStyle w:val="Bibliography"/>
        <w:bidi w:val="0"/>
        <w:ind w:left="720" w:hanging="720"/>
        <w:rPr>
          <w:noProof/>
        </w:rPr>
      </w:pPr>
      <w:r>
        <w:rPr>
          <w:noProof/>
        </w:rPr>
        <w:t xml:space="preserve">Hillman, D., Kochanek, R. F., &amp; Norgaard, C. T. (1991). </w:t>
      </w:r>
      <w:r>
        <w:rPr>
          <w:i/>
          <w:iCs/>
          <w:noProof/>
        </w:rPr>
        <w:t>Principles of Accounting.</w:t>
      </w:r>
      <w:r>
        <w:rPr>
          <w:noProof/>
        </w:rPr>
        <w:t xml:space="preserve"> </w:t>
      </w:r>
    </w:p>
    <w:p w14:paraId="4FDC9F0A" w14:textId="77777777" w:rsidR="009A13BB" w:rsidRDefault="009A13BB" w:rsidP="009A13BB">
      <w:pPr>
        <w:pStyle w:val="Bibliography"/>
        <w:bidi w:val="0"/>
        <w:ind w:left="720" w:hanging="720"/>
        <w:rPr>
          <w:noProof/>
        </w:rPr>
      </w:pPr>
      <w:r>
        <w:rPr>
          <w:noProof/>
        </w:rPr>
        <w:t xml:space="preserve">IASB. (2008). </w:t>
      </w:r>
      <w:r>
        <w:rPr>
          <w:i/>
          <w:iCs/>
          <w:noProof/>
        </w:rPr>
        <w:t>Exposure Draft on an improved Conceptual Framework for FinancialReporting: The Objective of Financial Reporting and Qualitative Characteristics of Decision-useful Financial Reporting Information.</w:t>
      </w:r>
      <w:r>
        <w:rPr>
          <w:noProof/>
        </w:rPr>
        <w:t xml:space="preserve"> London.</w:t>
      </w:r>
    </w:p>
    <w:p w14:paraId="452875DA" w14:textId="4E922C60" w:rsidR="002D3CC7" w:rsidRDefault="002D3CC7" w:rsidP="002D3CC7">
      <w:pPr>
        <w:pStyle w:val="Bibliography"/>
        <w:bidi w:val="0"/>
        <w:ind w:left="720" w:hanging="720"/>
        <w:rPr>
          <w:noProof/>
        </w:rPr>
      </w:pPr>
      <w:r>
        <w:rPr>
          <w:noProof/>
        </w:rPr>
        <w:t xml:space="preserve">IASB. (2018). </w:t>
      </w:r>
      <w:r w:rsidR="003A0B6C" w:rsidRPr="003A0B6C">
        <w:rPr>
          <w:i/>
          <w:iCs/>
          <w:noProof/>
        </w:rPr>
        <w:t>Conceptual Framework for Financial Reporting</w:t>
      </w:r>
      <w:r>
        <w:rPr>
          <w:i/>
          <w:iCs/>
          <w:noProof/>
        </w:rPr>
        <w:t>.</w:t>
      </w:r>
      <w:r>
        <w:rPr>
          <w:noProof/>
        </w:rPr>
        <w:t xml:space="preserve"> London.</w:t>
      </w:r>
    </w:p>
    <w:p w14:paraId="5DCE2E87" w14:textId="77777777" w:rsidR="009A13BB" w:rsidRDefault="009A13BB" w:rsidP="009A13BB">
      <w:pPr>
        <w:pStyle w:val="Bibliography"/>
        <w:bidi w:val="0"/>
        <w:ind w:left="720" w:hanging="720"/>
        <w:rPr>
          <w:noProof/>
        </w:rPr>
      </w:pPr>
      <w:r>
        <w:rPr>
          <w:noProof/>
        </w:rPr>
        <w:t xml:space="preserve">ICAEW. (2018). </w:t>
      </w:r>
      <w:r>
        <w:rPr>
          <w:i/>
          <w:iCs/>
          <w:noProof/>
        </w:rPr>
        <w:t>Measurement in financial reporting.</w:t>
      </w:r>
      <w:r>
        <w:rPr>
          <w:noProof/>
        </w:rPr>
        <w:t xml:space="preserve"> London: Chartered Accountants’ Hall,Moorgate Place.</w:t>
      </w:r>
    </w:p>
    <w:p w14:paraId="49DBE076" w14:textId="77777777" w:rsidR="009A13BB" w:rsidRDefault="009A13BB" w:rsidP="009A13BB">
      <w:pPr>
        <w:pStyle w:val="Bibliography"/>
        <w:bidi w:val="0"/>
        <w:ind w:left="720" w:hanging="720"/>
        <w:rPr>
          <w:noProof/>
        </w:rPr>
      </w:pPr>
      <w:r>
        <w:rPr>
          <w:noProof/>
        </w:rPr>
        <w:t>IFRS. (2018, April 3). Retrieved from http://www.ifrs.org/use-around-the-world/why-global-accounting-standards/</w:t>
      </w:r>
    </w:p>
    <w:p w14:paraId="133EEC88" w14:textId="77777777" w:rsidR="009A13BB" w:rsidRDefault="009A13BB" w:rsidP="009A13BB">
      <w:pPr>
        <w:pStyle w:val="Bibliography"/>
        <w:bidi w:val="0"/>
        <w:ind w:left="720" w:hanging="720"/>
        <w:rPr>
          <w:noProof/>
        </w:rPr>
      </w:pPr>
      <w:r>
        <w:rPr>
          <w:noProof/>
        </w:rPr>
        <w:t xml:space="preserve">IFRS. (2018, April 3). </w:t>
      </w:r>
      <w:r>
        <w:rPr>
          <w:i/>
          <w:iCs/>
          <w:noProof/>
        </w:rPr>
        <w:t>IFRS</w:t>
      </w:r>
      <w:r>
        <w:rPr>
          <w:noProof/>
        </w:rPr>
        <w:t>. Retrieved from www.IFRS.org</w:t>
      </w:r>
    </w:p>
    <w:p w14:paraId="7004D2D4" w14:textId="77777777" w:rsidR="009A13BB" w:rsidRDefault="009A13BB" w:rsidP="009A13BB">
      <w:pPr>
        <w:pStyle w:val="Bibliography"/>
        <w:bidi w:val="0"/>
        <w:ind w:left="720" w:hanging="720"/>
        <w:rPr>
          <w:noProof/>
        </w:rPr>
      </w:pPr>
      <w:r>
        <w:rPr>
          <w:noProof/>
        </w:rPr>
        <w:t xml:space="preserve">Larson, R. K., &amp; Kenny, S. Y. (1999). The harmonization of international accounting standards: Progress in the 1990s? </w:t>
      </w:r>
      <w:r>
        <w:rPr>
          <w:i/>
          <w:iCs/>
          <w:noProof/>
        </w:rPr>
        <w:t>Multinational Business Review</w:t>
      </w:r>
      <w:r>
        <w:rPr>
          <w:noProof/>
        </w:rPr>
        <w:t>, 1-12.</w:t>
      </w:r>
    </w:p>
    <w:p w14:paraId="0418FC6A" w14:textId="77777777" w:rsidR="009A13BB" w:rsidRDefault="009A13BB" w:rsidP="009A13BB">
      <w:pPr>
        <w:pStyle w:val="Bibliography"/>
        <w:bidi w:val="0"/>
        <w:ind w:left="720" w:hanging="720"/>
        <w:rPr>
          <w:noProof/>
        </w:rPr>
      </w:pPr>
      <w:r>
        <w:rPr>
          <w:noProof/>
        </w:rPr>
        <w:t xml:space="preserve">Merchant, K. A. (1982). </w:t>
      </w:r>
      <w:r>
        <w:rPr>
          <w:i/>
          <w:iCs/>
          <w:noProof/>
        </w:rPr>
        <w:t>The Control Function of Management.</w:t>
      </w:r>
      <w:r>
        <w:rPr>
          <w:noProof/>
        </w:rPr>
        <w:t xml:space="preserve"> Massachusetts Institute of Technology.</w:t>
      </w:r>
    </w:p>
    <w:p w14:paraId="4D98297A" w14:textId="77777777" w:rsidR="009A13BB" w:rsidRDefault="009A13BB" w:rsidP="009A13BB">
      <w:pPr>
        <w:pStyle w:val="Bibliography"/>
        <w:bidi w:val="0"/>
        <w:ind w:left="720" w:hanging="720"/>
        <w:rPr>
          <w:noProof/>
        </w:rPr>
      </w:pPr>
      <w:r>
        <w:rPr>
          <w:noProof/>
        </w:rPr>
        <w:t xml:space="preserve">Miˇsur´akov´, M. (2015). </w:t>
      </w:r>
      <w:r>
        <w:rPr>
          <w:i/>
          <w:iCs/>
          <w:noProof/>
        </w:rPr>
        <w:t>Measurement of Mutual Harmonisation of National Accounting Standards – the Case of Selected European Countries.</w:t>
      </w:r>
      <w:r>
        <w:rPr>
          <w:noProof/>
        </w:rPr>
        <w:t xml:space="preserve"> Charles University in Prague.</w:t>
      </w:r>
    </w:p>
    <w:p w14:paraId="617C0549" w14:textId="77777777" w:rsidR="009A13BB" w:rsidRDefault="009A13BB" w:rsidP="009A13BB">
      <w:pPr>
        <w:pStyle w:val="Bibliography"/>
        <w:bidi w:val="0"/>
        <w:ind w:left="720" w:hanging="720"/>
        <w:rPr>
          <w:noProof/>
        </w:rPr>
      </w:pPr>
      <w:r>
        <w:rPr>
          <w:noProof/>
        </w:rPr>
        <w:t xml:space="preserve">Morais, A. a. (2008). Do harmonised accounting standards lead to harmonised accounting practices? An empirical Study of IAS 39 measurement requirements in some European Union countries. </w:t>
      </w:r>
      <w:r>
        <w:rPr>
          <w:i/>
          <w:iCs/>
          <w:noProof/>
        </w:rPr>
        <w:t>Australian Accounting Review</w:t>
      </w:r>
      <w:r>
        <w:rPr>
          <w:noProof/>
        </w:rPr>
        <w:t>, 224-236.</w:t>
      </w:r>
    </w:p>
    <w:p w14:paraId="6A94F484" w14:textId="49EAFF63" w:rsidR="00AD6D36" w:rsidRDefault="00AD6D36" w:rsidP="00AD6D36">
      <w:pPr>
        <w:pStyle w:val="Bibliography"/>
        <w:bidi w:val="0"/>
        <w:ind w:left="720" w:hanging="720"/>
        <w:rPr>
          <w:noProof/>
        </w:rPr>
      </w:pPr>
      <w:r>
        <w:rPr>
          <w:noProof/>
        </w:rPr>
        <w:t xml:space="preserve">Muhabbat, H. and Jakhongir, S. (2023) ‘Harmonization of International Valuation Standards and International Financial Reporting Standards’, </w:t>
      </w:r>
      <w:r w:rsidRPr="00AD6D36">
        <w:rPr>
          <w:noProof/>
        </w:rPr>
        <w:t>The Journal of Economic</w:t>
      </w:r>
      <w:r>
        <w:rPr>
          <w:noProof/>
        </w:rPr>
        <w:t>, 3(2)</w:t>
      </w:r>
      <w:r w:rsidR="002B7E88">
        <w:rPr>
          <w:noProof/>
        </w:rPr>
        <w:t>, pp. 73–86</w:t>
      </w:r>
      <w:r>
        <w:rPr>
          <w:noProof/>
        </w:rPr>
        <w:t xml:space="preserve">. </w:t>
      </w:r>
    </w:p>
    <w:p w14:paraId="6DE3A4CC" w14:textId="068EBAE7" w:rsidR="009A13BB" w:rsidRDefault="009A13BB" w:rsidP="009A13BB">
      <w:pPr>
        <w:pStyle w:val="Bibliography"/>
        <w:bidi w:val="0"/>
        <w:ind w:left="720" w:hanging="720"/>
        <w:rPr>
          <w:noProof/>
        </w:rPr>
      </w:pPr>
      <w:r>
        <w:rPr>
          <w:noProof/>
        </w:rPr>
        <w:t xml:space="preserve">Morris, R. D., &amp; Parker, R. H. (1999). International harmony measures of accounting policy: comparative statistical properties. </w:t>
      </w:r>
      <w:r>
        <w:rPr>
          <w:i/>
          <w:iCs/>
          <w:noProof/>
        </w:rPr>
        <w:t>Accounting and Business Research</w:t>
      </w:r>
      <w:r>
        <w:rPr>
          <w:noProof/>
        </w:rPr>
        <w:t>, Vol. 29, No.1 pp. 73–86.</w:t>
      </w:r>
    </w:p>
    <w:p w14:paraId="513619CC" w14:textId="77777777" w:rsidR="009A13BB" w:rsidRDefault="009A13BB" w:rsidP="009A13BB">
      <w:pPr>
        <w:pStyle w:val="Bibliography"/>
        <w:bidi w:val="0"/>
        <w:ind w:left="720" w:hanging="720"/>
        <w:rPr>
          <w:noProof/>
        </w:rPr>
      </w:pPr>
      <w:r>
        <w:rPr>
          <w:noProof/>
        </w:rPr>
        <w:t xml:space="preserve">Mrak, M. (2000). </w:t>
      </w:r>
      <w:r>
        <w:rPr>
          <w:i/>
          <w:iCs/>
          <w:noProof/>
        </w:rPr>
        <w:t>Globalization, Trends, Challenge and opportunities for countries in Transitions.</w:t>
      </w:r>
      <w:r>
        <w:rPr>
          <w:noProof/>
        </w:rPr>
        <w:t xml:space="preserve"> Vienna: Industrial development organization.</w:t>
      </w:r>
    </w:p>
    <w:p w14:paraId="23889255" w14:textId="77777777" w:rsidR="009A13BB" w:rsidRDefault="009A13BB" w:rsidP="009A13BB">
      <w:pPr>
        <w:pStyle w:val="Bibliography"/>
        <w:bidi w:val="0"/>
        <w:ind w:left="720" w:hanging="720"/>
        <w:rPr>
          <w:noProof/>
        </w:rPr>
      </w:pPr>
      <w:r>
        <w:rPr>
          <w:noProof/>
        </w:rPr>
        <w:t xml:space="preserve">Nobes, C. (2006). The Survival of International Differences under IFRS: Towards a Research Agenda. </w:t>
      </w:r>
      <w:r>
        <w:rPr>
          <w:i/>
          <w:iCs/>
          <w:noProof/>
        </w:rPr>
        <w:t>Accounting and Business Research</w:t>
      </w:r>
      <w:r>
        <w:rPr>
          <w:noProof/>
        </w:rPr>
        <w:t>, 233–45.</w:t>
      </w:r>
    </w:p>
    <w:p w14:paraId="49629DF2" w14:textId="77777777" w:rsidR="009A13BB" w:rsidRDefault="009A13BB" w:rsidP="009A13BB">
      <w:pPr>
        <w:pStyle w:val="Bibliography"/>
        <w:bidi w:val="0"/>
        <w:ind w:left="720" w:hanging="720"/>
        <w:rPr>
          <w:noProof/>
        </w:rPr>
      </w:pPr>
      <w:r>
        <w:rPr>
          <w:noProof/>
        </w:rPr>
        <w:t xml:space="preserve">Qu, X., &amp; Zhang, G. (2008). Measuring the Convergence of National Accounting Standards with International Financial Reporting Standards: The Application of Fuzzy Clustering Analysis. </w:t>
      </w:r>
      <w:r>
        <w:rPr>
          <w:i/>
          <w:iCs/>
          <w:noProof/>
        </w:rPr>
        <w:t>Social Science Research Network</w:t>
      </w:r>
      <w:r>
        <w:rPr>
          <w:noProof/>
        </w:rPr>
        <w:t>.</w:t>
      </w:r>
    </w:p>
    <w:p w14:paraId="6752294C" w14:textId="77777777" w:rsidR="009A13BB" w:rsidRDefault="009A13BB" w:rsidP="009A13BB">
      <w:pPr>
        <w:pStyle w:val="Bibliography"/>
        <w:bidi w:val="0"/>
        <w:ind w:left="720" w:hanging="720"/>
        <w:rPr>
          <w:noProof/>
        </w:rPr>
      </w:pPr>
      <w:r>
        <w:rPr>
          <w:noProof/>
        </w:rPr>
        <w:lastRenderedPageBreak/>
        <w:t xml:space="preserve">Radebaugh, L., &amp; Gray, S. (1997). </w:t>
      </w:r>
      <w:r>
        <w:rPr>
          <w:i/>
          <w:iCs/>
          <w:noProof/>
        </w:rPr>
        <w:t>International Accounting and Multinational Enterprises.</w:t>
      </w:r>
      <w:r>
        <w:rPr>
          <w:noProof/>
        </w:rPr>
        <w:t xml:space="preserve"> John Wiley &amp; Son Inc.</w:t>
      </w:r>
    </w:p>
    <w:p w14:paraId="56074763" w14:textId="77777777" w:rsidR="009A13BB" w:rsidRDefault="009A13BB" w:rsidP="009A13BB">
      <w:pPr>
        <w:pStyle w:val="Bibliography"/>
        <w:bidi w:val="0"/>
        <w:ind w:left="720" w:hanging="720"/>
        <w:rPr>
          <w:noProof/>
        </w:rPr>
      </w:pPr>
      <w:r>
        <w:rPr>
          <w:noProof/>
        </w:rPr>
        <w:t xml:space="preserve">Rahman, A. R., Perera, H., &amp; Ganeshanandam, S. (1996). Measurement of Formal Harmonization in Accounting: An Exploratory Study. </w:t>
      </w:r>
      <w:r>
        <w:rPr>
          <w:i/>
          <w:iCs/>
          <w:noProof/>
        </w:rPr>
        <w:t>Accounting and Business Research</w:t>
      </w:r>
      <w:r>
        <w:rPr>
          <w:noProof/>
        </w:rPr>
        <w:t>, 325-339.</w:t>
      </w:r>
    </w:p>
    <w:p w14:paraId="704A87B0" w14:textId="77777777" w:rsidR="009A13BB" w:rsidRDefault="009A13BB" w:rsidP="009A13BB">
      <w:pPr>
        <w:pStyle w:val="Bibliography"/>
        <w:bidi w:val="0"/>
        <w:ind w:left="720" w:hanging="720"/>
        <w:rPr>
          <w:noProof/>
        </w:rPr>
      </w:pPr>
      <w:r>
        <w:rPr>
          <w:noProof/>
        </w:rPr>
        <w:t xml:space="preserve">Rajhi, M. (2014). International Financial Reporting Standards and Level of Compliance with Mandatory Disclosure Requirements Requirements. </w:t>
      </w:r>
      <w:r>
        <w:rPr>
          <w:i/>
          <w:iCs/>
          <w:noProof/>
        </w:rPr>
        <w:t>INTERNATIONAL JOURNAL OF MULTIDISCIPLINARY SCIENCES AND ENGINEERING</w:t>
      </w:r>
      <w:r>
        <w:rPr>
          <w:noProof/>
        </w:rPr>
        <w:t>, VOL. 5.</w:t>
      </w:r>
    </w:p>
    <w:p w14:paraId="76446C43" w14:textId="77777777" w:rsidR="009A13BB" w:rsidRDefault="009A13BB" w:rsidP="009A13BB">
      <w:pPr>
        <w:pStyle w:val="Bibliography"/>
        <w:bidi w:val="0"/>
        <w:ind w:left="720" w:hanging="720"/>
        <w:rPr>
          <w:noProof/>
        </w:rPr>
      </w:pPr>
      <w:r>
        <w:rPr>
          <w:noProof/>
        </w:rPr>
        <w:t xml:space="preserve">Ross, S. (2019). How Does Inventory Accounting Differ Between GAAP and IFRS? </w:t>
      </w:r>
      <w:r>
        <w:rPr>
          <w:i/>
          <w:iCs/>
          <w:noProof/>
        </w:rPr>
        <w:t>investopedia</w:t>
      </w:r>
      <w:r>
        <w:rPr>
          <w:noProof/>
        </w:rPr>
        <w:t>.</w:t>
      </w:r>
    </w:p>
    <w:p w14:paraId="39FA33F6" w14:textId="77777777" w:rsidR="009A13BB" w:rsidRDefault="009A13BB" w:rsidP="009A13BB">
      <w:pPr>
        <w:pStyle w:val="Bibliography"/>
        <w:bidi w:val="0"/>
        <w:ind w:left="720" w:hanging="720"/>
        <w:rPr>
          <w:noProof/>
        </w:rPr>
      </w:pPr>
      <w:r>
        <w:rPr>
          <w:noProof/>
        </w:rPr>
        <w:t xml:space="preserve">Rueschhoff, N., &amp; Strupeck, D. (1998). Equity Returns: Local GAAP versus US GAAP for Foreign Issuers from Developing Countries. </w:t>
      </w:r>
      <w:r>
        <w:rPr>
          <w:i/>
          <w:iCs/>
          <w:noProof/>
        </w:rPr>
        <w:t>The International Journal of Accounting</w:t>
      </w:r>
      <w:r>
        <w:rPr>
          <w:noProof/>
        </w:rPr>
        <w:t>, pp. 377-389.</w:t>
      </w:r>
    </w:p>
    <w:p w14:paraId="58EA9A85" w14:textId="26A2D911" w:rsidR="004437E3" w:rsidRDefault="004437E3" w:rsidP="004437E3">
      <w:pPr>
        <w:pStyle w:val="Bibliography"/>
        <w:bidi w:val="0"/>
        <w:ind w:left="720" w:hanging="720"/>
        <w:rPr>
          <w:noProof/>
        </w:rPr>
      </w:pPr>
      <w:r>
        <w:rPr>
          <w:noProof/>
        </w:rPr>
        <w:t xml:space="preserve">Shylmaganbetova, D., Sultanova, B. and Nizamidinova, A. (2023) ‘Harmonization of accounting in the conditions of the EAEU: Current State and Problems’, </w:t>
      </w:r>
      <w:r w:rsidRPr="004437E3">
        <w:rPr>
          <w:noProof/>
        </w:rPr>
        <w:t xml:space="preserve">The Journal of Economic </w:t>
      </w:r>
      <w:r w:rsidR="00644915">
        <w:rPr>
          <w:noProof/>
        </w:rPr>
        <w:t>and Ecinomic Education</w:t>
      </w:r>
      <w:r>
        <w:rPr>
          <w:noProof/>
        </w:rPr>
        <w:t xml:space="preserve"> 144(2). doi:10.26577/be.2023.v144.i2.013. </w:t>
      </w:r>
    </w:p>
    <w:p w14:paraId="4343662A" w14:textId="77777777" w:rsidR="004437E3" w:rsidRPr="004437E3" w:rsidRDefault="004437E3" w:rsidP="004437E3">
      <w:pPr>
        <w:bidi w:val="0"/>
      </w:pPr>
    </w:p>
    <w:p w14:paraId="4EA83451" w14:textId="77777777" w:rsidR="009A13BB" w:rsidRDefault="009A13BB" w:rsidP="009A13BB">
      <w:pPr>
        <w:pStyle w:val="Bibliography"/>
        <w:bidi w:val="0"/>
        <w:ind w:left="720" w:hanging="720"/>
        <w:rPr>
          <w:noProof/>
        </w:rPr>
      </w:pPr>
      <w:r>
        <w:rPr>
          <w:noProof/>
        </w:rPr>
        <w:t xml:space="preserve">Van der Tas, L. (1988). Measuring Harmonization of Financial Reporting Practice. </w:t>
      </w:r>
      <w:r>
        <w:rPr>
          <w:i/>
          <w:iCs/>
          <w:noProof/>
        </w:rPr>
        <w:t>Accounting and Business Research</w:t>
      </w:r>
      <w:r>
        <w:rPr>
          <w:noProof/>
        </w:rPr>
        <w:t>, pp. 157-69.</w:t>
      </w:r>
    </w:p>
    <w:p w14:paraId="25EBDA00" w14:textId="77777777" w:rsidR="009A13BB" w:rsidRDefault="009A13BB" w:rsidP="009A13BB">
      <w:pPr>
        <w:pStyle w:val="Bibliography"/>
        <w:bidi w:val="0"/>
        <w:ind w:left="720" w:hanging="720"/>
        <w:rPr>
          <w:noProof/>
        </w:rPr>
      </w:pPr>
      <w:r>
        <w:rPr>
          <w:noProof/>
        </w:rPr>
        <w:t xml:space="preserve">Van der Tas, L. (1992). Measuring International Harmonization and Standardization: A Comment. </w:t>
      </w:r>
      <w:r>
        <w:rPr>
          <w:i/>
          <w:iCs/>
          <w:noProof/>
        </w:rPr>
        <w:t>Abacus</w:t>
      </w:r>
      <w:r>
        <w:rPr>
          <w:noProof/>
        </w:rPr>
        <w:t>, Vol. 28, No. 2, pp.</w:t>
      </w:r>
    </w:p>
    <w:bookmarkEnd w:id="0"/>
    <w:p w14:paraId="6416EBEB" w14:textId="77777777" w:rsidR="009A13BB" w:rsidRPr="00126423" w:rsidRDefault="009A13BB" w:rsidP="009A13BB">
      <w:pPr>
        <w:shd w:val="clear" w:color="auto" w:fill="FFFFFF"/>
        <w:spacing w:after="240" w:line="560" w:lineRule="atLeast"/>
        <w:ind w:firstLine="720"/>
        <w:jc w:val="both"/>
        <w:rPr>
          <w:rFonts w:asciiTheme="majorBidi" w:hAnsiTheme="majorBidi" w:cstheme="majorBidi"/>
          <w:color w:val="000000"/>
          <w:rtl/>
        </w:rPr>
      </w:pPr>
    </w:p>
    <w:p w14:paraId="5A483F59" w14:textId="77777777" w:rsidR="006E6BEE" w:rsidRDefault="006E6BEE"/>
    <w:sectPr w:rsidR="006E6BEE" w:rsidSect="00A12055">
      <w:headerReference w:type="first" r:id="rId12"/>
      <w:pgSz w:w="11906" w:h="16838"/>
      <w:pgMar w:top="1440" w:right="1797" w:bottom="1440" w:left="1797" w:header="709" w:footer="72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AB9D" w14:textId="77777777" w:rsidR="00A12055" w:rsidRDefault="00A12055">
      <w:pPr>
        <w:spacing w:after="0" w:line="240" w:lineRule="auto"/>
      </w:pPr>
      <w:r>
        <w:separator/>
      </w:r>
    </w:p>
  </w:endnote>
  <w:endnote w:type="continuationSeparator" w:id="0">
    <w:p w14:paraId="0B174090" w14:textId="77777777" w:rsidR="00A12055" w:rsidRDefault="00A1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B19F" w14:textId="77777777" w:rsidR="00A12055" w:rsidRDefault="00A12055">
      <w:pPr>
        <w:spacing w:after="0" w:line="240" w:lineRule="auto"/>
      </w:pPr>
      <w:r>
        <w:separator/>
      </w:r>
    </w:p>
  </w:footnote>
  <w:footnote w:type="continuationSeparator" w:id="0">
    <w:p w14:paraId="56CB223D" w14:textId="77777777" w:rsidR="00A12055" w:rsidRDefault="00A1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02204555"/>
      <w:docPartObj>
        <w:docPartGallery w:val="Page Numbers (Top of Page)"/>
        <w:docPartUnique/>
      </w:docPartObj>
    </w:sdtPr>
    <w:sdtEndPr>
      <w:rPr>
        <w:noProof/>
      </w:rPr>
    </w:sdtEndPr>
    <w:sdtContent>
      <w:p w14:paraId="257E5E35" w14:textId="77777777" w:rsidR="009A13BB" w:rsidRDefault="009A13BB">
        <w:pPr>
          <w:pStyle w:val="Header"/>
          <w:jc w:val="center"/>
        </w:pPr>
        <w:r>
          <w:fldChar w:fldCharType="begin"/>
        </w:r>
        <w:r>
          <w:instrText xml:space="preserve"> PAGE   \* MERGEFORMAT </w:instrText>
        </w:r>
        <w:r>
          <w:fldChar w:fldCharType="separate"/>
        </w:r>
        <w:r>
          <w:rPr>
            <w:noProof/>
            <w:rtl/>
          </w:rPr>
          <w:t>6</w:t>
        </w:r>
        <w:r>
          <w:rPr>
            <w:noProof/>
          </w:rPr>
          <w:fldChar w:fldCharType="end"/>
        </w:r>
      </w:p>
    </w:sdtContent>
  </w:sdt>
  <w:p w14:paraId="7BF0E780" w14:textId="77777777" w:rsidR="009A13BB" w:rsidRDefault="009A13BB" w:rsidP="00823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9EDD" w14:textId="77777777" w:rsidR="00C10D83" w:rsidRDefault="00C10D83" w:rsidP="0047175A">
    <w:pPr>
      <w:pStyle w:val="Header"/>
      <w:jc w:val="center"/>
    </w:pPr>
  </w:p>
  <w:p w14:paraId="2EE256DC" w14:textId="77777777" w:rsidR="00C10D83" w:rsidRDefault="00C10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081"/>
    <w:multiLevelType w:val="hybridMultilevel"/>
    <w:tmpl w:val="B2A05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78BC"/>
    <w:multiLevelType w:val="multilevel"/>
    <w:tmpl w:val="32C87558"/>
    <w:lvl w:ilvl="0">
      <w:start w:val="1"/>
      <w:numFmt w:val="decimal"/>
      <w:lvlText w:val="%1."/>
      <w:lvlJc w:val="left"/>
      <w:pPr>
        <w:ind w:left="550" w:hanging="550"/>
      </w:pPr>
      <w:rPr>
        <w:rFonts w:hint="default"/>
      </w:rPr>
    </w:lvl>
    <w:lvl w:ilvl="1">
      <w:start w:val="1"/>
      <w:numFmt w:val="decimal"/>
      <w:lvlText w:val="%1.%2."/>
      <w:lvlJc w:val="left"/>
      <w:pPr>
        <w:ind w:left="64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90F3D"/>
    <w:multiLevelType w:val="hybridMultilevel"/>
    <w:tmpl w:val="9E222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0B3B"/>
    <w:multiLevelType w:val="multilevel"/>
    <w:tmpl w:val="0B169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81598"/>
    <w:multiLevelType w:val="hybridMultilevel"/>
    <w:tmpl w:val="1DACA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6135D"/>
    <w:multiLevelType w:val="hybridMultilevel"/>
    <w:tmpl w:val="2640C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B0D9F"/>
    <w:multiLevelType w:val="hybridMultilevel"/>
    <w:tmpl w:val="7B12D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10FDC"/>
    <w:multiLevelType w:val="hybridMultilevel"/>
    <w:tmpl w:val="0BA2C124"/>
    <w:lvl w:ilvl="0" w:tplc="53C4E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52A48"/>
    <w:multiLevelType w:val="hybridMultilevel"/>
    <w:tmpl w:val="657E31BA"/>
    <w:lvl w:ilvl="0" w:tplc="382C416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A4AC1"/>
    <w:multiLevelType w:val="hybridMultilevel"/>
    <w:tmpl w:val="FF02761A"/>
    <w:lvl w:ilvl="0" w:tplc="383260C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40B74"/>
    <w:multiLevelType w:val="hybridMultilevel"/>
    <w:tmpl w:val="3FDA1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A73E3"/>
    <w:multiLevelType w:val="hybridMultilevel"/>
    <w:tmpl w:val="523652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B2AF2"/>
    <w:multiLevelType w:val="hybridMultilevel"/>
    <w:tmpl w:val="5EAE9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3060B"/>
    <w:multiLevelType w:val="hybridMultilevel"/>
    <w:tmpl w:val="205254E0"/>
    <w:lvl w:ilvl="0" w:tplc="B6242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E28CA"/>
    <w:multiLevelType w:val="hybridMultilevel"/>
    <w:tmpl w:val="0E288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50CDC"/>
    <w:multiLevelType w:val="multilevel"/>
    <w:tmpl w:val="091EFCD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1657E3"/>
    <w:multiLevelType w:val="hybridMultilevel"/>
    <w:tmpl w:val="74B25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D02D8"/>
    <w:multiLevelType w:val="hybridMultilevel"/>
    <w:tmpl w:val="B426AF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61E99"/>
    <w:multiLevelType w:val="hybridMultilevel"/>
    <w:tmpl w:val="56D8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57F43"/>
    <w:multiLevelType w:val="hybridMultilevel"/>
    <w:tmpl w:val="F872C9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64EB1"/>
    <w:multiLevelType w:val="hybridMultilevel"/>
    <w:tmpl w:val="825C6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452D1"/>
    <w:multiLevelType w:val="hybridMultilevel"/>
    <w:tmpl w:val="ACA6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13C00"/>
    <w:multiLevelType w:val="hybridMultilevel"/>
    <w:tmpl w:val="F2B46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301F1"/>
    <w:multiLevelType w:val="hybridMultilevel"/>
    <w:tmpl w:val="71705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E6DA7"/>
    <w:multiLevelType w:val="hybridMultilevel"/>
    <w:tmpl w:val="D0668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416EE3"/>
    <w:multiLevelType w:val="multilevel"/>
    <w:tmpl w:val="091EFCD0"/>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9F5A67"/>
    <w:multiLevelType w:val="multilevel"/>
    <w:tmpl w:val="C5DC16EE"/>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F3A3C7F"/>
    <w:multiLevelType w:val="hybridMultilevel"/>
    <w:tmpl w:val="2A36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B09EF"/>
    <w:multiLevelType w:val="hybridMultilevel"/>
    <w:tmpl w:val="6F9C1C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60379"/>
    <w:multiLevelType w:val="hybridMultilevel"/>
    <w:tmpl w:val="ADF40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721010"/>
    <w:multiLevelType w:val="hybridMultilevel"/>
    <w:tmpl w:val="F41C9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E0300"/>
    <w:multiLevelType w:val="hybridMultilevel"/>
    <w:tmpl w:val="7FD23A2A"/>
    <w:lvl w:ilvl="0" w:tplc="52C23874">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653C8"/>
    <w:multiLevelType w:val="hybridMultilevel"/>
    <w:tmpl w:val="6538AE42"/>
    <w:lvl w:ilvl="0" w:tplc="4716A6E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3" w15:restartNumberingAfterBreak="0">
    <w:nsid w:val="71065451"/>
    <w:multiLevelType w:val="hybridMultilevel"/>
    <w:tmpl w:val="D8EA2B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172BA"/>
    <w:multiLevelType w:val="hybridMultilevel"/>
    <w:tmpl w:val="352E7C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1009F"/>
    <w:multiLevelType w:val="hybridMultilevel"/>
    <w:tmpl w:val="EEF61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308020">
    <w:abstractNumId w:val="8"/>
  </w:num>
  <w:num w:numId="2" w16cid:durableId="1337031980">
    <w:abstractNumId w:val="29"/>
  </w:num>
  <w:num w:numId="3" w16cid:durableId="1699546270">
    <w:abstractNumId w:val="34"/>
  </w:num>
  <w:num w:numId="4" w16cid:durableId="1249465242">
    <w:abstractNumId w:val="27"/>
  </w:num>
  <w:num w:numId="5" w16cid:durableId="191575843">
    <w:abstractNumId w:val="35"/>
  </w:num>
  <w:num w:numId="6" w16cid:durableId="935940768">
    <w:abstractNumId w:val="20"/>
  </w:num>
  <w:num w:numId="7" w16cid:durableId="11956435">
    <w:abstractNumId w:val="11"/>
  </w:num>
  <w:num w:numId="8" w16cid:durableId="656879252">
    <w:abstractNumId w:val="0"/>
  </w:num>
  <w:num w:numId="9" w16cid:durableId="2034990103">
    <w:abstractNumId w:val="22"/>
  </w:num>
  <w:num w:numId="10" w16cid:durableId="1228761845">
    <w:abstractNumId w:val="12"/>
  </w:num>
  <w:num w:numId="11" w16cid:durableId="1598635543">
    <w:abstractNumId w:val="23"/>
  </w:num>
  <w:num w:numId="12" w16cid:durableId="1369454133">
    <w:abstractNumId w:val="4"/>
  </w:num>
  <w:num w:numId="13" w16cid:durableId="1714303514">
    <w:abstractNumId w:val="14"/>
  </w:num>
  <w:num w:numId="14" w16cid:durableId="1985888400">
    <w:abstractNumId w:val="5"/>
  </w:num>
  <w:num w:numId="15" w16cid:durableId="795830892">
    <w:abstractNumId w:val="15"/>
  </w:num>
  <w:num w:numId="16" w16cid:durableId="808322616">
    <w:abstractNumId w:val="24"/>
  </w:num>
  <w:num w:numId="17" w16cid:durableId="1706831627">
    <w:abstractNumId w:val="30"/>
  </w:num>
  <w:num w:numId="18" w16cid:durableId="1270116554">
    <w:abstractNumId w:val="28"/>
  </w:num>
  <w:num w:numId="19" w16cid:durableId="102313413">
    <w:abstractNumId w:val="2"/>
  </w:num>
  <w:num w:numId="20" w16cid:durableId="862328428">
    <w:abstractNumId w:val="6"/>
  </w:num>
  <w:num w:numId="21" w16cid:durableId="482695019">
    <w:abstractNumId w:val="33"/>
  </w:num>
  <w:num w:numId="22" w16cid:durableId="1562329785">
    <w:abstractNumId w:val="10"/>
  </w:num>
  <w:num w:numId="23" w16cid:durableId="346295500">
    <w:abstractNumId w:val="19"/>
  </w:num>
  <w:num w:numId="24" w16cid:durableId="657807048">
    <w:abstractNumId w:val="32"/>
  </w:num>
  <w:num w:numId="25" w16cid:durableId="1030061009">
    <w:abstractNumId w:val="17"/>
  </w:num>
  <w:num w:numId="26" w16cid:durableId="1039084849">
    <w:abstractNumId w:val="21"/>
  </w:num>
  <w:num w:numId="27" w16cid:durableId="960647302">
    <w:abstractNumId w:val="1"/>
  </w:num>
  <w:num w:numId="28" w16cid:durableId="1306155305">
    <w:abstractNumId w:val="25"/>
  </w:num>
  <w:num w:numId="29" w16cid:durableId="1703942656">
    <w:abstractNumId w:val="26"/>
  </w:num>
  <w:num w:numId="30" w16cid:durableId="932863168">
    <w:abstractNumId w:val="18"/>
  </w:num>
  <w:num w:numId="31" w16cid:durableId="1704592792">
    <w:abstractNumId w:val="13"/>
  </w:num>
  <w:num w:numId="32" w16cid:durableId="477695683">
    <w:abstractNumId w:val="16"/>
  </w:num>
  <w:num w:numId="33" w16cid:durableId="1504710504">
    <w:abstractNumId w:val="9"/>
  </w:num>
  <w:num w:numId="34" w16cid:durableId="1726294185">
    <w:abstractNumId w:val="3"/>
  </w:num>
  <w:num w:numId="35" w16cid:durableId="2038003170">
    <w:abstractNumId w:val="7"/>
  </w:num>
  <w:num w:numId="36" w16cid:durableId="20478300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18"/>
    <w:rsid w:val="00057C2D"/>
    <w:rsid w:val="000D02D3"/>
    <w:rsid w:val="00152975"/>
    <w:rsid w:val="002074F0"/>
    <w:rsid w:val="002272FA"/>
    <w:rsid w:val="00282D8B"/>
    <w:rsid w:val="002B7E88"/>
    <w:rsid w:val="002D3CC7"/>
    <w:rsid w:val="002F7BC7"/>
    <w:rsid w:val="00321205"/>
    <w:rsid w:val="00354934"/>
    <w:rsid w:val="0035737E"/>
    <w:rsid w:val="00385AE3"/>
    <w:rsid w:val="003A0B6C"/>
    <w:rsid w:val="003F547A"/>
    <w:rsid w:val="00401B6C"/>
    <w:rsid w:val="00402870"/>
    <w:rsid w:val="004437E3"/>
    <w:rsid w:val="00451094"/>
    <w:rsid w:val="004C7774"/>
    <w:rsid w:val="004F0490"/>
    <w:rsid w:val="00517A77"/>
    <w:rsid w:val="0057285D"/>
    <w:rsid w:val="00584E0B"/>
    <w:rsid w:val="005E724B"/>
    <w:rsid w:val="006170BC"/>
    <w:rsid w:val="00631BEF"/>
    <w:rsid w:val="00644915"/>
    <w:rsid w:val="006645E2"/>
    <w:rsid w:val="00692F2E"/>
    <w:rsid w:val="006B45E1"/>
    <w:rsid w:val="006C28FD"/>
    <w:rsid w:val="006C5962"/>
    <w:rsid w:val="006C62C3"/>
    <w:rsid w:val="006E6BEE"/>
    <w:rsid w:val="00704B1D"/>
    <w:rsid w:val="007072E7"/>
    <w:rsid w:val="00742483"/>
    <w:rsid w:val="007523AC"/>
    <w:rsid w:val="007904B3"/>
    <w:rsid w:val="007A4BC9"/>
    <w:rsid w:val="007B0626"/>
    <w:rsid w:val="007E3CFF"/>
    <w:rsid w:val="008169A6"/>
    <w:rsid w:val="008B3EAC"/>
    <w:rsid w:val="008F580F"/>
    <w:rsid w:val="009006A3"/>
    <w:rsid w:val="00931F7F"/>
    <w:rsid w:val="00976949"/>
    <w:rsid w:val="009A13BB"/>
    <w:rsid w:val="009C15BD"/>
    <w:rsid w:val="00A04196"/>
    <w:rsid w:val="00A12055"/>
    <w:rsid w:val="00A33958"/>
    <w:rsid w:val="00A57391"/>
    <w:rsid w:val="00A64FFD"/>
    <w:rsid w:val="00A66E48"/>
    <w:rsid w:val="00A7488C"/>
    <w:rsid w:val="00A90BDF"/>
    <w:rsid w:val="00AD1196"/>
    <w:rsid w:val="00AD6D36"/>
    <w:rsid w:val="00AF25B2"/>
    <w:rsid w:val="00B21418"/>
    <w:rsid w:val="00B55E14"/>
    <w:rsid w:val="00B80810"/>
    <w:rsid w:val="00B82946"/>
    <w:rsid w:val="00B86F62"/>
    <w:rsid w:val="00BC33F5"/>
    <w:rsid w:val="00C10D83"/>
    <w:rsid w:val="00C158A8"/>
    <w:rsid w:val="00C674F1"/>
    <w:rsid w:val="00CA5776"/>
    <w:rsid w:val="00CE776C"/>
    <w:rsid w:val="00CE7E5B"/>
    <w:rsid w:val="00D354D7"/>
    <w:rsid w:val="00DC0C1C"/>
    <w:rsid w:val="00DC6EFA"/>
    <w:rsid w:val="00DD1E06"/>
    <w:rsid w:val="00EC5C2A"/>
    <w:rsid w:val="00F3655C"/>
    <w:rsid w:val="00F74745"/>
    <w:rsid w:val="00F86B43"/>
    <w:rsid w:val="00FC29C4"/>
    <w:rsid w:val="00FE0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38F0"/>
  <w15:chartTrackingRefBased/>
  <w15:docId w15:val="{575CA107-8DB8-4AFA-B936-807EC841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3BB"/>
    <w:pPr>
      <w:bidi/>
      <w:spacing w:after="200" w:line="276" w:lineRule="auto"/>
    </w:pPr>
  </w:style>
  <w:style w:type="paragraph" w:styleId="Heading1">
    <w:name w:val="heading 1"/>
    <w:basedOn w:val="Normal"/>
    <w:next w:val="Normal"/>
    <w:link w:val="Heading1Char"/>
    <w:uiPriority w:val="9"/>
    <w:qFormat/>
    <w:rsid w:val="009A13BB"/>
    <w:pPr>
      <w:keepNext/>
      <w:keepLines/>
      <w:bidi w:val="0"/>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1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13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13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13B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9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5962"/>
  </w:style>
  <w:style w:type="paragraph" w:styleId="Revision">
    <w:name w:val="Revision"/>
    <w:hidden/>
    <w:uiPriority w:val="99"/>
    <w:semiHidden/>
    <w:rsid w:val="009A13BB"/>
    <w:pPr>
      <w:spacing w:after="0" w:line="240" w:lineRule="auto"/>
    </w:pPr>
  </w:style>
  <w:style w:type="character" w:customStyle="1" w:styleId="Heading1Char">
    <w:name w:val="Heading 1 Char"/>
    <w:basedOn w:val="DefaultParagraphFont"/>
    <w:link w:val="Heading1"/>
    <w:uiPriority w:val="9"/>
    <w:rsid w:val="009A1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13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13B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A13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A13BB"/>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9A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3BB"/>
    <w:rPr>
      <w:rFonts w:ascii="Tahoma" w:hAnsi="Tahoma" w:cs="Tahoma"/>
      <w:sz w:val="16"/>
      <w:szCs w:val="16"/>
    </w:rPr>
  </w:style>
  <w:style w:type="paragraph" w:styleId="NormalWeb">
    <w:name w:val="Normal (Web)"/>
    <w:basedOn w:val="Normal"/>
    <w:uiPriority w:val="99"/>
    <w:unhideWhenUsed/>
    <w:rsid w:val="009A13B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13BB"/>
    <w:rPr>
      <w:color w:val="0000FF"/>
      <w:u w:val="single"/>
    </w:rPr>
  </w:style>
  <w:style w:type="paragraph" w:customStyle="1" w:styleId="Default">
    <w:name w:val="Default"/>
    <w:rsid w:val="009A13BB"/>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A1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3BB"/>
    <w:rPr>
      <w:sz w:val="20"/>
      <w:szCs w:val="20"/>
    </w:rPr>
  </w:style>
  <w:style w:type="character" w:styleId="FootnoteReference">
    <w:name w:val="footnote reference"/>
    <w:basedOn w:val="DefaultParagraphFont"/>
    <w:uiPriority w:val="99"/>
    <w:semiHidden/>
    <w:unhideWhenUsed/>
    <w:rsid w:val="009A13BB"/>
    <w:rPr>
      <w:vertAlign w:val="superscript"/>
    </w:rPr>
  </w:style>
  <w:style w:type="paragraph" w:styleId="BodyText2">
    <w:name w:val="Body Text 2"/>
    <w:basedOn w:val="Normal"/>
    <w:link w:val="BodyText2Char"/>
    <w:rsid w:val="009A13BB"/>
    <w:pPr>
      <w:bidi w:val="0"/>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9A13BB"/>
    <w:rPr>
      <w:rFonts w:ascii="Times New Roman" w:eastAsia="Times New Roman" w:hAnsi="Times New Roman" w:cs="Times New Roman"/>
      <w:sz w:val="20"/>
      <w:szCs w:val="24"/>
    </w:rPr>
  </w:style>
  <w:style w:type="paragraph" w:styleId="Bibliography">
    <w:name w:val="Bibliography"/>
    <w:basedOn w:val="Normal"/>
    <w:next w:val="Normal"/>
    <w:uiPriority w:val="37"/>
    <w:unhideWhenUsed/>
    <w:rsid w:val="009A13BB"/>
  </w:style>
  <w:style w:type="paragraph" w:styleId="ListParagraph">
    <w:name w:val="List Paragraph"/>
    <w:basedOn w:val="Normal"/>
    <w:uiPriority w:val="34"/>
    <w:qFormat/>
    <w:rsid w:val="009A13BB"/>
    <w:pPr>
      <w:ind w:left="720"/>
      <w:contextualSpacing/>
    </w:pPr>
  </w:style>
  <w:style w:type="paragraph" w:styleId="HTMLPreformatted">
    <w:name w:val="HTML Preformatted"/>
    <w:basedOn w:val="Normal"/>
    <w:link w:val="HTMLPreformattedChar"/>
    <w:uiPriority w:val="99"/>
    <w:unhideWhenUsed/>
    <w:rsid w:val="009A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13BB"/>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A13BB"/>
    <w:rPr>
      <w:sz w:val="16"/>
      <w:szCs w:val="16"/>
    </w:rPr>
  </w:style>
  <w:style w:type="paragraph" w:styleId="CommentText">
    <w:name w:val="annotation text"/>
    <w:basedOn w:val="Normal"/>
    <w:link w:val="CommentTextChar"/>
    <w:uiPriority w:val="99"/>
    <w:unhideWhenUsed/>
    <w:rsid w:val="009A13BB"/>
    <w:pPr>
      <w:spacing w:line="240" w:lineRule="auto"/>
    </w:pPr>
    <w:rPr>
      <w:sz w:val="20"/>
      <w:szCs w:val="20"/>
    </w:rPr>
  </w:style>
  <w:style w:type="character" w:customStyle="1" w:styleId="CommentTextChar">
    <w:name w:val="Comment Text Char"/>
    <w:basedOn w:val="DefaultParagraphFont"/>
    <w:link w:val="CommentText"/>
    <w:uiPriority w:val="99"/>
    <w:rsid w:val="009A13BB"/>
    <w:rPr>
      <w:sz w:val="20"/>
      <w:szCs w:val="20"/>
    </w:rPr>
  </w:style>
  <w:style w:type="paragraph" w:styleId="CommentSubject">
    <w:name w:val="annotation subject"/>
    <w:basedOn w:val="CommentText"/>
    <w:next w:val="CommentText"/>
    <w:link w:val="CommentSubjectChar"/>
    <w:uiPriority w:val="99"/>
    <w:semiHidden/>
    <w:unhideWhenUsed/>
    <w:rsid w:val="009A13BB"/>
    <w:rPr>
      <w:b/>
      <w:bCs/>
    </w:rPr>
  </w:style>
  <w:style w:type="character" w:customStyle="1" w:styleId="CommentSubjectChar">
    <w:name w:val="Comment Subject Char"/>
    <w:basedOn w:val="CommentTextChar"/>
    <w:link w:val="CommentSubject"/>
    <w:uiPriority w:val="99"/>
    <w:semiHidden/>
    <w:rsid w:val="009A13BB"/>
    <w:rPr>
      <w:b/>
      <w:bCs/>
      <w:sz w:val="20"/>
      <w:szCs w:val="20"/>
    </w:rPr>
  </w:style>
  <w:style w:type="paragraph" w:styleId="Footer">
    <w:name w:val="footer"/>
    <w:basedOn w:val="Normal"/>
    <w:link w:val="FooterChar"/>
    <w:uiPriority w:val="99"/>
    <w:unhideWhenUsed/>
    <w:rsid w:val="009A13B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13BB"/>
  </w:style>
  <w:style w:type="table" w:styleId="TableGrid">
    <w:name w:val="Table Grid"/>
    <w:basedOn w:val="TableNormal"/>
    <w:uiPriority w:val="39"/>
    <w:rsid w:val="009A13BB"/>
    <w:pPr>
      <w:spacing w:after="0" w:line="240" w:lineRule="auto"/>
    </w:pPr>
    <w:rPr>
      <w:kern w:val="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A13BB"/>
    <w:pPr>
      <w:spacing w:after="120"/>
    </w:pPr>
  </w:style>
  <w:style w:type="character" w:customStyle="1" w:styleId="BodyTextChar">
    <w:name w:val="Body Text Char"/>
    <w:basedOn w:val="DefaultParagraphFont"/>
    <w:link w:val="BodyText"/>
    <w:uiPriority w:val="99"/>
    <w:semiHidden/>
    <w:rsid w:val="009A13BB"/>
  </w:style>
  <w:style w:type="character" w:styleId="Strong">
    <w:name w:val="Strong"/>
    <w:basedOn w:val="DefaultParagraphFont"/>
    <w:uiPriority w:val="22"/>
    <w:qFormat/>
    <w:rsid w:val="009A13BB"/>
    <w:rPr>
      <w:b/>
      <w:bCs/>
    </w:rPr>
  </w:style>
  <w:style w:type="character" w:customStyle="1" w:styleId="ref-lnk">
    <w:name w:val="ref-lnk"/>
    <w:basedOn w:val="DefaultParagraphFont"/>
    <w:rsid w:val="009A13BB"/>
  </w:style>
  <w:style w:type="character" w:customStyle="1" w:styleId="ref-overlay">
    <w:name w:val="ref-overlay"/>
    <w:basedOn w:val="DefaultParagraphFont"/>
    <w:rsid w:val="009A13BB"/>
  </w:style>
  <w:style w:type="character" w:customStyle="1" w:styleId="ref-fn-p">
    <w:name w:val="ref-fn-p"/>
    <w:basedOn w:val="DefaultParagraphFont"/>
    <w:rsid w:val="009A13BB"/>
  </w:style>
  <w:style w:type="paragraph" w:styleId="NoSpacing">
    <w:name w:val="No Spacing"/>
    <w:uiPriority w:val="1"/>
    <w:qFormat/>
    <w:rsid w:val="009A13BB"/>
    <w:pPr>
      <w:bidi/>
      <w:spacing w:after="0" w:line="240" w:lineRule="auto"/>
    </w:pPr>
  </w:style>
  <w:style w:type="character" w:customStyle="1" w:styleId="glossarylink">
    <w:name w:val="glossarylink"/>
    <w:basedOn w:val="DefaultParagraphFont"/>
    <w:rsid w:val="009A13BB"/>
  </w:style>
  <w:style w:type="paragraph" w:styleId="TOCHeading">
    <w:name w:val="TOC Heading"/>
    <w:basedOn w:val="Heading1"/>
    <w:next w:val="Normal"/>
    <w:uiPriority w:val="39"/>
    <w:unhideWhenUsed/>
    <w:qFormat/>
    <w:rsid w:val="009A13BB"/>
    <w:pPr>
      <w:outlineLvl w:val="9"/>
    </w:pPr>
  </w:style>
  <w:style w:type="paragraph" w:styleId="TOC3">
    <w:name w:val="toc 3"/>
    <w:basedOn w:val="Normal"/>
    <w:next w:val="Normal"/>
    <w:autoRedefine/>
    <w:uiPriority w:val="39"/>
    <w:unhideWhenUsed/>
    <w:rsid w:val="009A13BB"/>
    <w:pPr>
      <w:spacing w:after="100"/>
      <w:ind w:left="440"/>
    </w:pPr>
  </w:style>
  <w:style w:type="paragraph" w:styleId="TOC2">
    <w:name w:val="toc 2"/>
    <w:basedOn w:val="Normal"/>
    <w:next w:val="Normal"/>
    <w:autoRedefine/>
    <w:uiPriority w:val="39"/>
    <w:unhideWhenUsed/>
    <w:rsid w:val="009A13BB"/>
    <w:pPr>
      <w:spacing w:after="100"/>
      <w:ind w:left="220"/>
    </w:pPr>
  </w:style>
  <w:style w:type="paragraph" w:styleId="TOC1">
    <w:name w:val="toc 1"/>
    <w:basedOn w:val="Normal"/>
    <w:next w:val="Normal"/>
    <w:autoRedefine/>
    <w:uiPriority w:val="39"/>
    <w:unhideWhenUsed/>
    <w:rsid w:val="009A13BB"/>
    <w:pPr>
      <w:spacing w:after="100"/>
    </w:pPr>
  </w:style>
  <w:style w:type="character" w:customStyle="1" w:styleId="tw-bilingual-translation">
    <w:name w:val="tw-bilingual-translation"/>
    <w:basedOn w:val="DefaultParagraphFont"/>
    <w:rsid w:val="009A13BB"/>
  </w:style>
  <w:style w:type="character" w:customStyle="1" w:styleId="dol">
    <w:name w:val="dol"/>
    <w:basedOn w:val="DefaultParagraphFont"/>
    <w:rsid w:val="009A13BB"/>
  </w:style>
  <w:style w:type="character" w:styleId="HTMLCite">
    <w:name w:val="HTML Cite"/>
    <w:basedOn w:val="DefaultParagraphFont"/>
    <w:uiPriority w:val="99"/>
    <w:semiHidden/>
    <w:unhideWhenUsed/>
    <w:rsid w:val="009A13BB"/>
    <w:rPr>
      <w:i/>
      <w:iCs/>
    </w:rPr>
  </w:style>
  <w:style w:type="table" w:customStyle="1" w:styleId="PlainTable21">
    <w:name w:val="Plain Table 21"/>
    <w:basedOn w:val="TableNormal"/>
    <w:uiPriority w:val="42"/>
    <w:rsid w:val="009A13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A13B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A13B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9A13BB"/>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9A13BB"/>
    <w:pPr>
      <w:spacing w:after="0"/>
    </w:pPr>
  </w:style>
  <w:style w:type="character" w:customStyle="1" w:styleId="sac">
    <w:name w:val="sac"/>
    <w:basedOn w:val="DefaultParagraphFont"/>
    <w:rsid w:val="009A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6690">
      <w:bodyDiv w:val="1"/>
      <w:marLeft w:val="0"/>
      <w:marRight w:val="0"/>
      <w:marTop w:val="0"/>
      <w:marBottom w:val="0"/>
      <w:divBdr>
        <w:top w:val="none" w:sz="0" w:space="0" w:color="auto"/>
        <w:left w:val="none" w:sz="0" w:space="0" w:color="auto"/>
        <w:bottom w:val="none" w:sz="0" w:space="0" w:color="auto"/>
        <w:right w:val="none" w:sz="0" w:space="0" w:color="auto"/>
      </w:divBdr>
    </w:div>
    <w:div w:id="220480537">
      <w:bodyDiv w:val="1"/>
      <w:marLeft w:val="0"/>
      <w:marRight w:val="0"/>
      <w:marTop w:val="0"/>
      <w:marBottom w:val="0"/>
      <w:divBdr>
        <w:top w:val="none" w:sz="0" w:space="0" w:color="auto"/>
        <w:left w:val="none" w:sz="0" w:space="0" w:color="auto"/>
        <w:bottom w:val="none" w:sz="0" w:space="0" w:color="auto"/>
        <w:right w:val="none" w:sz="0" w:space="0" w:color="auto"/>
      </w:divBdr>
    </w:div>
    <w:div w:id="710884102">
      <w:bodyDiv w:val="1"/>
      <w:marLeft w:val="0"/>
      <w:marRight w:val="0"/>
      <w:marTop w:val="0"/>
      <w:marBottom w:val="0"/>
      <w:divBdr>
        <w:top w:val="none" w:sz="0" w:space="0" w:color="auto"/>
        <w:left w:val="none" w:sz="0" w:space="0" w:color="auto"/>
        <w:bottom w:val="none" w:sz="0" w:space="0" w:color="auto"/>
        <w:right w:val="none" w:sz="0" w:space="0" w:color="auto"/>
      </w:divBdr>
    </w:div>
    <w:div w:id="14037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Moj00</b:Tag>
    <b:SourceType>Report</b:SourceType>
    <b:Guid>{5FEC7008-1BE6-4A30-A4CE-EEE535ED17B4}</b:Guid>
    <b:Author>
      <b:Author>
        <b:NameList>
          <b:Person>
            <b:Last>Mrak</b:Last>
            <b:First>Mojmir</b:First>
          </b:Person>
        </b:NameList>
      </b:Author>
    </b:Author>
    <b:Title>Globalization, Trends, Challenge and opportunities for countries in Transitions</b:Title>
    <b:Year>2000</b:Year>
    <b:Publisher>Industrial development organization</b:Publisher>
    <b:City>Vienna</b:City>
    <b:RefOrder>1</b:RefOrder>
  </b:Source>
  <b:Source>
    <b:Tag>SEC00</b:Tag>
    <b:SourceType>JournalArticle</b:SourceType>
    <b:Guid>{B63F9875-C145-4D0A-83E8-6B8A2D59506E}</b:Guid>
    <b:Title>SEC Concept Release :International Accounting Standards</b:Title>
    <b:JournalName>RELEASE NOS. 33-7801, 34-42430; INTERNATIONAL SERIES NO. 1215</b:JournalName>
    <b:Year>2000</b:Year>
    <b:Author>
      <b:Author>
        <b:NameList>
          <b:Person>
            <b:Last>SEC</b:Last>
          </b:Person>
        </b:NameList>
      </b:Author>
    </b:Author>
    <b:RefOrder>4</b:RefOrder>
  </b:Source>
  <b:Source>
    <b:Tag>Wan11</b:Tag>
    <b:SourceType>Report</b:SourceType>
    <b:Guid>{3E7C5DA4-574E-4594-A63B-1A5BD846E3CD}</b:Guid>
    <b:Author>
      <b:Author>
        <b:NameList>
          <b:Person>
            <b:Last>Wang</b:Last>
            <b:First>Clare</b:First>
          </b:Person>
        </b:NameList>
      </b:Author>
    </b:Author>
    <b:Title>Accounting Standards Harmonization and Financial Statement Comparability: Evidence from Transnational Information Transfer</b:Title>
    <b:Year>2011</b:Year>
    <b:Publisher>University of Pennsylvania</b:Publisher>
    <b:RefOrder>5</b:RefOrder>
  </b:Source>
  <b:Source>
    <b:Tag>IAS01</b:Tag>
    <b:SourceType>Book</b:SourceType>
    <b:Guid>{901B58AA-33B4-43E9-B5C3-1E5C54B542DD}</b:Guid>
    <b:Author>
      <b:Author>
        <b:NameList>
          <b:Person>
            <b:Last>IASB</b:Last>
          </b:Person>
        </b:NameList>
      </b:Author>
    </b:Author>
    <b:Year>2001</b:Year>
    <b:Publisher>International Accounting Standards Board</b:Publisher>
    <b:Title>conceptual framework</b:Title>
    <b:RefOrder>6</b:RefOrder>
  </b:Source>
  <b:Source>
    <b:Tag>Bes02</b:Tag>
    <b:SourceType>Report</b:SourceType>
    <b:Guid>{050DECD4-227A-46E5-B12D-81CF582653FB}</b:Guid>
    <b:Author>
      <b:Author>
        <b:NameList>
          <b:Person>
            <b:Last>Basoglu</b:Last>
            <b:First>Besalet</b:First>
          </b:Person>
          <b:Person>
            <b:Last>Goma</b:Last>
            <b:First>Ahmed</b:First>
          </b:Person>
        </b:NameList>
      </b:Author>
    </b:Author>
    <b:Title>International Accounting Standards and Selected Middle East Stock Exchanges</b:Title>
    <b:Year>2002</b:Year>
    <b:Publisher>Loyola University Chicago</b:Publisher>
    <b:RefOrder>7</b:RefOrder>
  </b:Source>
  <b:Source>
    <b:Tag>Ber99</b:Tag>
    <b:SourceType>JournalArticle</b:SourceType>
    <b:Guid>{FBCBBD1D-6471-4D09-9D90-0B613B9179B4}</b:Guid>
    <b:Author>
      <b:Author>
        <b:NameList>
          <b:Person>
            <b:Last>Berton</b:Last>
            <b:First>Lee</b:First>
          </b:Person>
        </b:NameList>
      </b:Author>
    </b:Author>
    <b:Title>Countdown to harmonization</b:Title>
    <b:JournalName>Institutional Investor</b:JournalName>
    <b:Year>1999</b:Year>
    <b:Pages> 34-35</b:Pages>
    <b:Publisher>Institutional Investor</b:Publisher>
    <b:City>New</b:City>
    <b:RefOrder>8</b:RefOrder>
  </b:Source>
  <b:Source>
    <b:Tag>AIC19</b:Tag>
    <b:SourceType>Report</b:SourceType>
    <b:Guid>{4DE9A0B8-AAB6-4E16-8D6D-133A4F9730E1}</b:Guid>
    <b:Author>
      <b:Author>
        <b:NameList>
          <b:Person>
            <b:Last>AICPA</b:Last>
          </b:Person>
        </b:NameList>
      </b:Author>
    </b:Author>
    <b:Title>INTERNATIONAL FINANCIAL REPORTING STANDARDS</b:Title>
    <b:Year>2019</b:Year>
    <b:City> New York, NY 10036-8775.</b:City>
    <b:Publisher>The American Institute of Certified Public Accountants</b:Publisher>
    <b:RefOrder>9</b:RefOrder>
  </b:Source>
  <b:Source>
    <b:Tag>Fin15</b:Tag>
    <b:SourceType>ArticleInAPeriodical</b:SourceType>
    <b:Guid>{3150C7E4-5F8F-42F0-9642-2B0CAD35A349}</b:Guid>
    <b:Author>
      <b:Author>
        <b:NameList>
          <b:Person>
            <b:Last>Chitt</b:Last>
            <b:First>David</b:First>
          </b:Person>
        </b:NameList>
      </b:Author>
    </b:Author>
    <b:Title>Financial Reporting Developments in a Middle East Context</b:Title>
    <b:Year>2015</b:Year>
    <b:Month>Jun</b:Month>
    <b:Day>17</b:Day>
    <b:RefOrder>10</b:RefOrder>
  </b:Source>
  <b:Source>
    <b:Tag>ICA18</b:Tag>
    <b:SourceType>Report</b:SourceType>
    <b:Guid>{58D7349D-60BA-4269-915B-E30F186A649B}</b:Guid>
    <b:Author>
      <b:Author>
        <b:NameList>
          <b:Person>
            <b:Last>ICAEW</b:Last>
          </b:Person>
        </b:NameList>
      </b:Author>
    </b:Author>
    <b:Title>Measurement in financial reporting</b:Title>
    <b:Year>2018</b:Year>
    <b:Publisher>Chartered Accountants’ Hall,Moorgate Place</b:Publisher>
    <b:City>London</b:City>
    <b:RefOrder>11</b:RefOrder>
  </b:Source>
  <b:Source>
    <b:Tag>Shi02</b:Tag>
    <b:SourceType>JournalArticle</b:SourceType>
    <b:Guid>{10C27B28-A493-4347-BD1A-75C8280E0F92}</b:Guid>
    <b:Author>
      <b:Author>
        <b:NameList>
          <b:Person>
            <b:Last>Chen</b:Last>
            <b:First>Shimin</b:First>
          </b:Person>
          <b:Person>
            <b:Last>sun</b:Last>
            <b:First>Zheng</b:First>
          </b:Person>
          <b:Person>
            <b:Last>wang</b:Last>
            <b:First>Yuetang</b:First>
          </b:Person>
        </b:NameList>
      </b:Author>
    </b:Author>
    <b:Title>Evidence from China on whether Harmonized Accounting standars Harmonize Accounting practices</b:Title>
    <b:JournalName>Accounting Horizons</b:JournalName>
    <b:Year>2002</b:Year>
    <b:Pages>183-197</b:Pages>
    <b:RefOrder>12</b:RefOrder>
  </b:Source>
  <b:Source>
    <b:Tag>Bar08</b:Tag>
    <b:SourceType>JournalArticle</b:SourceType>
    <b:Guid>{C05CD427-B77B-4A88-8A9F-DF74117273A3}</b:Guid>
    <b:Author>
      <b:Author>
        <b:NameList>
          <b:Person>
            <b:Last>Barth</b:Last>
            <b:First>E.</b:First>
          </b:Person>
          <b:Person>
            <b:Last>Mary</b:Last>
            <b:First>Wayne</b:First>
            <b:Middle>R. Landsman,</b:Middle>
          </b:Person>
          <b:Person>
            <b:Last>Lang</b:Last>
            <b:First>Mark</b:First>
            <b:Middle>H.</b:Middle>
          </b:Person>
        </b:NameList>
      </b:Author>
    </b:Author>
    <b:Title> International Accounting Standards and Accounting Quality</b:Title>
    <b:JournalName> Journal of Accounting Research</b:JournalName>
    <b:Year>2008</b:Year>
    <b:Pages> 467–498</b:Pages>
    <b:RefOrder>13</b:RefOrder>
  </b:Source>
  <b:Source>
    <b:Tag>QuX08</b:Tag>
    <b:SourceType>JournalArticle</b:SourceType>
    <b:Guid>{A8C8E21E-7E25-4716-A3C5-38419933554B}</b:Guid>
    <b:Author>
      <b:Author>
        <b:NameList>
          <b:Person>
            <b:Last>Qu</b:Last>
            <b:First>Xiaohui</b:First>
          </b:Person>
          <b:Person>
            <b:Last>Zhang</b:Last>
            <b:First>Guohua</b:First>
          </b:Person>
        </b:NameList>
      </b:Author>
    </b:Author>
    <b:Title>Measuring the Convergence of National Accounting Standards with International Financial Reporting Standards: The Application of Fuzzy Clustering Analysis</b:Title>
    <b:JournalName>Social Science Research Network</b:JournalName>
    <b:Year>2008</b:Year>
    <b:RefOrder>14</b:RefOrder>
  </b:Source>
  <b:Source>
    <b:Tag>Bal06</b:Tag>
    <b:SourceType>JournalArticle</b:SourceType>
    <b:Guid>{A0BE96F6-9CA7-4C53-B5F9-E052A8040F22}</b:Guid>
    <b:Author>
      <b:Author>
        <b:NameList>
          <b:Person>
            <b:Last>Ball</b:Last>
            <b:First>R.</b:First>
          </b:Person>
        </b:NameList>
      </b:Author>
    </b:Author>
    <b:Title>International Financial Reporting Standards (IFRS): pros and cons for investors</b:Title>
    <b:Year>2006</b:Year>
    <b:JournalName>Accounting &amp; Business Research</b:JournalName>
    <b:Pages>5-65</b:Pages>
    <b:RefOrder>15</b:RefOrder>
  </b:Source>
  <b:Source xmlns:b="http://schemas.openxmlformats.org/officeDocument/2006/bibliography">
    <b:Tag>CWN06</b:Tag>
    <b:SourceType>JournalArticle</b:SourceType>
    <b:Guid>{162B95A8-FBED-40E3-95DD-88B4A499AD2B}</b:Guid>
    <b:Author>
      <b:Author>
        <b:NameList>
          <b:Person>
            <b:Last>Nobes</b:Last>
            <b:First>C.W.</b:First>
          </b:Person>
        </b:NameList>
      </b:Author>
    </b:Author>
    <b:Title>The Survival of International Differences under IFRS: Towards a Research Agenda</b:Title>
    <b:JournalName>Accounting and Business Research</b:JournalName>
    <b:Year>2006</b:Year>
    <b:Pages>233–45</b:Pages>
    <b:LCID>en-US</b:LCID>
    <b:RefOrder>16</b:RefOrder>
  </b:Source>
  <b:Source>
    <b:Tag>Rue98</b:Tag>
    <b:SourceType>JournalArticle</b:SourceType>
    <b:Guid>{97E25EE5-461A-416B-ABCB-E605FE5AF8A9}</b:Guid>
    <b:Author>
      <b:Author>
        <b:NameList>
          <b:Person>
            <b:Last>Rueschhoff</b:Last>
            <b:First>N.G.</b:First>
          </b:Person>
          <b:Person>
            <b:Last>Strupeck</b:Last>
            <b:First>D.</b:First>
          </b:Person>
        </b:NameList>
      </b:Author>
    </b:Author>
    <b:Title>Equity Returns: Local GAAP versus US GAAP for Foreign Issuers from Developing Countries</b:Title>
    <b:Year>1998</b:Year>
    <b:JournalName>The International Journal of Accounting</b:JournalName>
    <b:Pages>pp. 377-389</b:Pages>
    <b:RefOrder>17</b:RefOrder>
  </b:Source>
  <b:Source>
    <b:Tag>Mor08</b:Tag>
    <b:SourceType>JournalArticle</b:SourceType>
    <b:Guid>{BD8EFCA2-12C4-458C-897C-E415B76D5645}</b:Guid>
    <b:Author>
      <b:Author>
        <b:NameList>
          <b:Person>
            <b:Last>Morais</b:Last>
            <b:First>A.I.</b:First>
            <b:Middle>and Fialho, A.</b:Middle>
          </b:Person>
        </b:NameList>
      </b:Author>
    </b:Author>
    <b:Title>Do harmonised accounting standards lead to harmonised accounting practices? An empirical Study of IAS 39 measurement requirements in some European Union countries</b:Title>
    <b:JournalName> Australian Accounting Review</b:JournalName>
    <b:Year>2008</b:Year>
    <b:Pages>224-236</b:Pages>
    <b:RefOrder>18</b:RefOrder>
  </b:Source>
  <b:Source>
    <b:Tag>Ken82</b:Tag>
    <b:SourceType>Report</b:SourceType>
    <b:Guid>{BC6FD20D-6900-44FE-9483-303399443927}</b:Guid>
    <b:Title>The Control Function of Management</b:Title>
    <b:Year>1982</b:Year>
    <b:Author>
      <b:Author>
        <b:NameList>
          <b:Person>
            <b:Last>Merchant</b:Last>
            <b:First>Kenneth</b:First>
            <b:Middle>A.</b:Middle>
          </b:Person>
        </b:NameList>
      </b:Author>
    </b:Author>
    <b:Publisher> Massachusetts Institute of Technology</b:Publisher>
    <b:RefOrder>19</b:RefOrder>
  </b:Source>
  <b:Source>
    <b:Tag>Dou91</b:Tag>
    <b:SourceType>Book</b:SourceType>
    <b:Guid>{D59335FF-F7CB-41B2-8A82-89F6DE25ADEC}</b:Guid>
    <b:Author>
      <b:Author>
        <b:NameList>
          <b:Person>
            <b:Last>Hillman</b:Last>
            <b:First>Douglas</b:First>
          </b:Person>
          <b:Person>
            <b:Last>Kochanek</b:Last>
            <b:First>Richard</b:First>
            <b:Middle>F.</b:Middle>
          </b:Person>
          <b:Person>
            <b:Last>Norgaard</b:Last>
            <b:First>Corine</b:First>
            <b:Middle>T.</b:Middle>
          </b:Person>
        </b:NameList>
      </b:Author>
    </b:Author>
    <b:Title>Principles of Accounting</b:Title>
    <b:JournalName>Principles of Accounting</b:JournalName>
    <b:Year>1991</b:Year>
    <b:RefOrder>20</b:RefOrder>
  </b:Source>
  <b:Source>
    <b:Tag>FAS80</b:Tag>
    <b:SourceType>JournalArticle</b:SourceType>
    <b:Guid>{4104E0F1-011F-4218-AB66-0EDF35D23C4C}</b:Guid>
    <b:Author>
      <b:Author>
        <b:NameList>
          <b:Person>
            <b:Last>FASB</b:Last>
          </b:Person>
        </b:NameList>
      </b:Author>
    </b:Author>
    <b:Title>Qualitative Characteristics of Accounting Information</b:Title>
    <b:JournalName>Statement of Financial Accounting Concepts (SFAC)</b:JournalName>
    <b:Year>1980</b:Year>
    <b:Pages> No. 2. Norwalk, CT: FASB.</b:Pages>
    <b:RefOrder>21</b:RefOrder>
  </b:Source>
  <b:Source>
    <b:Tag>IAS08</b:Tag>
    <b:SourceType>Report</b:SourceType>
    <b:Guid>{D4B36F5E-B594-42A4-9821-1839AA25F8AF}</b:Guid>
    <b:Author>
      <b:Author>
        <b:NameList>
          <b:Person>
            <b:Last>IASB</b:Last>
          </b:Person>
        </b:NameList>
      </b:Author>
    </b:Author>
    <b:Title>Exposure Draft on an improved Conceptual Framework for FinancialReporting: The Objective of Financial Reporting and Qualitative Characteristics of Decision-useful Financial Reporting Information</b:Title>
    <b:Year>2008</b:Year>
    <b:City>London</b:City>
    <b:RefOrder>22</b:RefOrder>
  </b:Source>
  <b:Source>
    <b:Tag>Com16</b:Tag>
    <b:SourceType>JournalArticle</b:SourceType>
    <b:Guid>{A9BAA769-8258-457A-A1DB-638B3B95B3F7}</b:Guid>
    <b:Author>
      <b:Author>
        <b:NameList>
          <b:Person>
            <b:Last>Doni</b:Last>
            <b:First>Federica</b:First>
          </b:Person>
          <b:Person>
            <b:Last>Taplin</b:Last>
            <b:First>Ross</b:First>
            <b:Middle>H.</b:Middle>
          </b:Person>
          <b:Person>
            <b:Last>Verona</b:Last>
            <b:First>Roberto</b:First>
          </b:Person>
        </b:NameList>
      </b:Author>
    </b:Author>
    <b:Title>Comparability of Company Accounts Using IFRS and US GAAP:Empirical Evidence of European and US Financial</b:Title>
    <b:JournalName>International Journal of Business and Management</b:JournalName>
    <b:Year>2016</b:Year>
    <b:Pages>Vol. 11, No. 12</b:Pages>
    <b:RefOrder>23</b:RefOrder>
  </b:Source>
  <b:Source>
    <b:Tag>Eme98</b:Tag>
    <b:SourceType>Report</b:SourceType>
    <b:Guid>{896C361C-3548-48EE-99C1-2173E95D6F02}</b:Guid>
    <b:Author>
      <b:Author>
        <b:NameList>
          <b:Person>
            <b:Last>Emenyonu</b:Last>
            <b:First>Emmanuel</b:First>
            <b:Middle>N.</b:Middle>
          </b:Person>
          <b:Person>
            <b:Last>Adhikari</b:Last>
            <b:First>Ajay</b:First>
          </b:Person>
        </b:NameList>
      </b:Author>
    </b:Author>
    <b:Title>Measuring the Degree of International Harmony in Selected Accounting Measurement Practices</b:Title>
    <b:Year>1998</b:Year>
    <b:Publisher>Sacred Heart University ,</b:Publisher>
    <b:City>WCOB Faculty Publications </b:City>
    <b:RefOrder>24</b:RefOrder>
  </b:Source>
  <b:Source>
    <b:Tag>Tay902</b:Tag>
    <b:SourceType>JournalArticle</b:SourceType>
    <b:Guid>{5D97F3DD-3209-420B-8F39-EFD49F8EDF5B}</b:Guid>
    <b:Title>Measuring harmonization and standardization</b:Title>
    <b:Year>1990</b:Year>
    <b:Author>
      <b:Author>
        <b:NameList>
          <b:Person>
            <b:Last>Tay</b:Last>
            <b:First>J.S.W.</b:First>
          </b:Person>
          <b:Person>
            <b:Last>Parker</b:Last>
            <b:First>R.H</b:First>
          </b:Person>
        </b:NameList>
      </b:Author>
    </b:Author>
    <b:JournalName>Abacus</b:JournalName>
    <b:Pages>26(1): 71–88</b:Pages>
    <b:RefOrder>25</b:RefOrder>
  </b:Source>
  <b:Source>
    <b:Tag>Sus09</b:Tag>
    <b:SourceType>JournalArticle</b:SourceType>
    <b:Guid>{541A8BA0-3F13-4282-9654-91395262F927}</b:Guid>
    <b:Author>
      <b:Author>
        <b:NameList>
          <b:Person>
            <b:Last>Callao</b:Last>
            <b:First>Susana</b:First>
          </b:Person>
          <b:Person>
            <b:Last>Ferrer</b:Last>
            <b:First>Cristina</b:First>
          </b:Person>
          <b:Person>
            <b:Last>Jarne</b:Last>
            <b:First>Jose</b:First>
            <b:Middle>I.</b:Middle>
          </b:Person>
          <b:Person>
            <b:Last>Lainez</b:Last>
            <b:First>Jose</b:First>
            <b:Middle>A.</b:Middle>
          </b:Person>
        </b:NameList>
      </b:Author>
    </b:Author>
    <b:Title>The impact of IFRS on the European Union: Is it related to the accounting tradition of the countries?</b:Title>
    <b:JournalName>Journal of Applied Accounting Research</b:JournalName>
    <b:Year>2009</b:Year>
    <b:Pages>Vol. 10 Issue: 1, pp.33-55</b:Pages>
    <b:RefOrder>26</b:RefOrder>
  </b:Source>
  <b:Source>
    <b:Tag>Ait84</b:Tag>
    <b:SourceType>JournalArticle</b:SourceType>
    <b:Guid>{E766C44B-0819-4AFD-9475-88920E37B90B}</b:Guid>
    <b:Author>
      <b:Author>
        <b:NameList>
          <b:Person>
            <b:Last>Aitken</b:Last>
            <b:First>M.J.</b:First>
          </b:Person>
          <b:Person>
            <b:Last>Islam</b:Last>
            <b:First>M.A.</b:First>
          </b:Person>
        </b:NameList>
      </b:Author>
    </b:Author>
    <b:Title>Dispelling arguments against International Accounting Standards</b:Title>
    <b:JournalName> International Journal of Accounting Education and Research</b:JournalName>
    <b:Year>1984</b:Year>
    <b:Pages> 35-46</b:Pages>
    <b:RefOrder>27</b:RefOrder>
  </b:Source>
  <b:Source>
    <b:Tag>Lar99</b:Tag>
    <b:SourceType>JournalArticle</b:SourceType>
    <b:Guid>{94852A16-C02A-4416-84A2-380BC97AA5FA}</b:Guid>
    <b:Author>
      <b:Author>
        <b:NameList>
          <b:Person>
            <b:Last>Larson</b:Last>
            <b:First>Robert</b:First>
            <b:Middle>K</b:Middle>
          </b:Person>
          <b:Person>
            <b:Last>Kenny</b:Last>
            <b:First>Sara</b:First>
            <b:Middle>York</b:Middle>
          </b:Person>
        </b:NameList>
      </b:Author>
    </b:Author>
    <b:Title>The harmonization of international accounting standards: Progress in the 1990s?</b:Title>
    <b:JournalName>Multinational Business Review</b:JournalName>
    <b:Year>1999</b:Year>
    <b:Pages>1-12</b:Pages>
    <b:RefOrder>28</b:RefOrder>
  </b:Source>
  <b:Source>
    <b:Tag>CLA05</b:Tag>
    <b:SourceType>Book</b:SourceType>
    <b:Guid>{F5920ED1-DE30-4340-9675-418496C738ED}</b:Guid>
    <b:Title>International Financial Reporting A Comparative Approach Third Edition</b:Title>
    <b:Year>2005</b:Year>
    <b:Author>
      <b:Author>
        <b:NameList>
          <b:Person>
            <b:Last>Roberts</b:Last>
            <b:First>Clare</b:First>
          </b:Person>
          <b:Person>
            <b:Last>Weetman</b:Last>
            <b:First>Pauline</b:First>
          </b:Person>
          <b:Person>
            <b:Last>Gordon</b:Last>
            <b:First>Paul</b:First>
          </b:Person>
        </b:NameList>
      </b:Author>
    </b:Author>
    <b:City>England</b:City>
    <b:Publisher>Great Britain by Financial Times Professional Limited 1998</b:Publisher>
    <b:RefOrder>29</b:RefOrder>
  </b:Source>
  <b:Source>
    <b:Tag>عنصر_نائب1</b:Tag>
    <b:SourceType>InternetSite</b:SourceType>
    <b:Guid>{14794EAD-9B8A-42C5-8666-D4BE5E206223}</b:Guid>
    <b:Author>
      <b:Author>
        <b:NameList>
          <b:Person>
            <b:Last>IFRS</b:Last>
          </b:Person>
        </b:NameList>
      </b:Author>
    </b:Author>
    <b:Year>2018</b:Year>
    <b:Month>April</b:Month>
    <b:Day>3</b:Day>
    <b:URL>http://www.ifrs.org/use-around-the-world/why-global-accounting-standards/</b:URL>
    <b:RefOrder>30</b:RefOrder>
  </b:Source>
  <b:Source>
    <b:Tag>FLO12</b:Tag>
    <b:SourceType>Report</b:SourceType>
    <b:Guid>{A9879A55-C55A-4727-B9DD-F388C599955F}</b:Guid>
    <b:Title>The Case for Global Accounting</b:Title>
    <b:Year>2012</b:Year>
    <b:Author>
      <b:Author>
        <b:NameList>
          <b:Person>
            <b:Last>Norris</b:Last>
            <b:First>FLOYD</b:First>
          </b:Person>
        </b:NameList>
      </b:Author>
    </b:Author>
    <b:Publisher>The New York Times</b:Publisher>
    <b:RefOrder>31</b:RefOrder>
  </b:Source>
  <b:Source>
    <b:Tag>IFR18</b:Tag>
    <b:SourceType>InternetSite</b:SourceType>
    <b:Guid>{A331E3F9-51B4-4D68-BE11-EA57578148A7}</b:Guid>
    <b:Author>
      <b:Author>
        <b:NameList>
          <b:Person>
            <b:Last>IFRS</b:Last>
          </b:Person>
        </b:NameList>
      </b:Author>
    </b:Author>
    <b:Year>2018</b:Year>
    <b:Month>April</b:Month>
    <b:Day>3</b:Day>
    <b:URL>http://www.ifrs.org/use-around-the-world/why-global-accounting-standards/</b:URL>
    <b:RefOrder>32</b:RefOrder>
  </b:Source>
  <b:Source>
    <b:Tag>Spa07</b:Tag>
    <b:SourceType>JournalArticle</b:SourceType>
    <b:Guid>{79EE07D1-2633-4501-A30C-CAF2DE09F074}</b:Guid>
    <b:Author>
      <b:Author>
        <b:NameList>
          <b:Person>
            <b:Last>Spathis</b:Last>
            <b:First>C.</b:First>
          </b:Person>
          <b:Person>
            <b:Last>Geograkopoulou</b:Last>
            <b:First>E.</b:First>
          </b:Person>
        </b:NameList>
      </b:Author>
    </b:Author>
    <b:Title>he adoption of IFRS in South Eastern Europe: the case of Greece.</b:Title>
    <b:JournalName>Int. J. Financial Services Management</b:JournalName>
    <b:Year>2007</b:Year>
    <b:Pages>2 (1/2), 50-63</b:Pages>
    <b:RefOrder>33</b:RefOrder>
  </b:Source>
  <b:Source>
    <b:Tag>LaP98</b:Tag>
    <b:SourceType>JournalArticle</b:SourceType>
    <b:Guid>{2C798625-ADBB-4267-8C30-7D23CDB5E251}</b:Guid>
    <b:Title>Law and Finance</b:Title>
    <b:Year> 1998</b:Year>
    <b:Author>
      <b:Author>
        <b:NameList>
          <b:Person>
            <b:Last>La Porta</b:Last>
            <b:First>Rafael,</b:First>
            <b:Middle>Florencio Lopez-de-Silanes, Andrei Shleifer, and Robert W. Vishny.</b:Middle>
          </b:Person>
        </b:NameList>
      </b:Author>
    </b:Author>
    <b:JournalName>Journal of Political Economy</b:JournalName>
    <b:Pages>106(6):1113–55.</b:Pages>
    <b:RefOrder>34</b:RefOrder>
  </b:Source>
  <b:Source>
    <b:Tag>Nob98</b:Tag>
    <b:SourceType>Book</b:SourceType>
    <b:Guid>{95E0B309-2FD0-4C8C-8C63-F447CA1DD316}</b:Guid>
    <b:Author>
      <b:Author>
        <b:NameList>
          <b:Person>
            <b:Last>Nobes</b:Last>
            <b:First>W.</b:First>
          </b:Person>
          <b:Person>
            <b:Last>Parker</b:Last>
            <b:First>R.</b:First>
          </b:Person>
        </b:NameList>
      </b:Author>
    </b:Author>
    <b:Title>Comparative International Accounting 5th ed</b:Title>
    <b:Year>1998</b:Year>
    <b:Publisher> Prentice Hall</b:Publisher>
    <b:City>London</b:City>
    <b:RefOrder>35</b:RefOrder>
  </b:Source>
  <b:Source>
    <b:Tag>Leo10</b:Tag>
    <b:SourceType>JournalArticle</b:SourceType>
    <b:Guid>{D157F5A6-AD21-4016-AB7B-9A53F463001C}</b:Guid>
    <b:Author>
      <b:Author>
        <b:NameList>
          <b:Person>
            <b:Last>Leonard</b:Last>
            <b:First>Karen</b:First>
            <b:Middle>&amp; Slaubaugh, Michael &amp; Cheng Wang, Hwei</b:Middle>
          </b:Person>
        </b:NameList>
      </b:Author>
    </b:Author>
    <b:Title>Cultural effects on accounting practices and investment decisions</b:Title>
    <b:JournalName>International Journal of Accounting and Finance</b:JournalName>
    <b:Year>2010</b:Year>
    <b:Pages> 2. 156-170. 10.1504/IJAF.2010.032086</b:Pages>
    <b:RefOrder>36</b:RefOrder>
  </b:Source>
  <b:Source>
    <b:Tag>Ire</b:Tag>
    <b:SourceType>Report</b:SourceType>
    <b:Guid>{789A91A3-7323-4B19-AEB6-1919C43F45C6}</b:Guid>
    <b:Author>
      <b:Author>
        <b:NameList>
          <b:Person>
            <b:Last>Jindrichovska</b:Last>
            <b:First>Irena</b:First>
          </b:Person>
        </b:NameList>
      </b:Author>
    </b:Author>
    <b:Title>International Differences in Accounting: The Birth of an Accounting Harmonization Process?</b:Title>
    <b:Publisher>Charles University, Prague; Anglo-American University, Prague</b:Publisher>
    <b:City>Prague</b:City>
    <b:Year>2004</b:Year>
    <b:RefOrder>37</b:RefOrder>
  </b:Source>
  <b:Source>
    <b:Tag>Per09</b:Tag>
    <b:SourceType>JournalArticle</b:SourceType>
    <b:Guid>{A015710C-49B4-4F42-8A73-36EAEA928161}</b:Guid>
    <b:Author>
      <b:Author>
        <b:NameList>
          <b:Person>
            <b:Last>Perumpral</b:Last>
            <b:First>S.</b:First>
            <b:Middle>E., Evans, M., Agarwal, S., and Amenkhienan, F.</b:Middle>
          </b:Person>
        </b:NameList>
      </b:Author>
    </b:Author>
    <b:Title>The evolution of Indian accounting standards: Its history and current status with regard to International Financial Reporting Standards</b:Title>
    <b:JournalName> Advances in Accounting</b:JournalName>
    <b:Year>2009</b:Year>
    <b:Pages> 25, 106–111</b:Pages>
    <b:RefOrder>38</b:RefOrder>
  </b:Source>
  <b:Source>
    <b:Tag>VieSu</b:Tag>
    <b:SourceType>DocumentFromInternetSite</b:SourceType>
    <b:Guid>{C4AFD40E-750F-4C6B-9B23-7889C2EE2100}</b:Guid>
    <b:Author>
      <b:Author>
        <b:NameList>
          <b:Person>
            <b:Last>OBG</b:Last>
          </b:Person>
        </b:NameList>
      </b:Author>
    </b:Author>
    <b:Title>OXFORD BUSINESS GROUP</b:Title>
    <b:Year>2017</b:Year>
    <b:InternetSiteTitle>Summary of accounting practices in Bahrain</b:InternetSiteTitle>
    <b:YearAccessed>2019</b:YearAccessed>
    <b:MonthAccessed>4</b:MonthAccessed>
    <b:DayAccessed>13</b:DayAccessed>
    <b:URL>https://oxfordbusinessgroup.com/overview/higher-standards-summary-accounting-practices-country</b:URL>
    <b:RefOrder>39</b:RefOrder>
  </b:Source>
  <b:Source>
    <b:Tag>Wor18</b:Tag>
    <b:SourceType>JournalArticle</b:SourceType>
    <b:Guid>{065D3B18-152A-4521-A82F-5820A8168E37}</b:Guid>
    <b:Author>
      <b:Author>
        <b:NameList>
          <b:Person>
            <b:Last>Workman</b:Last>
            <b:First>Daniel</b:First>
          </b:Person>
        </b:NameList>
      </b:Author>
    </b:Author>
    <b:Title>Crude Oil Exports by Country</b:Title>
    <b:InternetSiteTitle>World's Top Exports</b:InternetSiteTitle>
    <b:Year>2018</b:Year>
    <b:JournalName>World's Top Exports</b:JournalName>
    <b:RefOrder>40</b:RefOrder>
  </b:Source>
  <b:Source>
    <b:Tag>Ant19</b:Tag>
    <b:SourceType>JournalArticle</b:SourceType>
    <b:Guid>{9561ABCE-773A-4E19-8053-77E21ACA2264}</b:Guid>
    <b:Author>
      <b:Author>
        <b:NameList>
          <b:Person>
            <b:Last>Anthony</b:Last>
            <b:First>Craig</b:First>
          </b:Person>
        </b:NameList>
      </b:Author>
    </b:Author>
    <b:Title> Which 10 Countries Have the Most Natural Resources?</b:Title>
    <b:JournalName>Investopedia</b:JournalName>
    <b:Year>2019</b:Year>
    <b:RefOrder>41</b:RefOrder>
  </b:Source>
  <b:Source>
    <b:Tag>PCB19</b:Tag>
    <b:SourceType>InternetSite</b:SourceType>
    <b:Guid>{115C7122-96B2-42CB-8578-41A25DE81049}</b:Guid>
    <b:Title>Palestinian Central Bureau of Statistics</b:Title>
    <b:Year>2019</b:Year>
    <b:Author>
      <b:Author>
        <b:NameList>
          <b:Person>
            <b:Last>PCBS</b:Last>
          </b:Person>
        </b:NameList>
      </b:Author>
    </b:Author>
    <b:InternetSiteTitle>Dr. Ola Awad,The performance of the Palestinian economy during 2018.</b:InternetSiteTitle>
    <b:Month>3</b:Month>
    <b:Day>18</b:Day>
    <b:URL>http://www.pcbs.gov.ps/post.aspx?lang=en&amp;ItemID=3341</b:URL>
    <b:RefOrder>42</b:RefOrder>
  </b:Source>
  <b:Source>
    <b:Tag>Has15</b:Tag>
    <b:SourceType>JournalArticle</b:SourceType>
    <b:Guid>{E6407474-42EA-4212-AAC1-D623D620B553}</b:Guid>
    <b:Author>
      <b:Author>
        <b:NameList>
          <b:Person>
            <b:Last>Ahmed</b:Last>
            <b:First>Kamran</b:First>
          </b:Person>
          <b:Person>
            <b:Last>Ali</b:Last>
            <b:First>Muhammad</b:First>
            <b:Middle>Jahangir</b:Middle>
          </b:Person>
        </b:NameList>
      </b:Author>
    </b:Author>
    <b:Title>Has the harmonisation of accounting practices improved? Evidence from South Asia</b:Title>
    <b:JournalName>International Journal of Accounting &amp; Information Management</b:JournalName>
    <b:Year>2015</b:Year>
    <b:Pages>Vol. 23 Issue: 4, pp.327-348</b:Pages>
    <b:RefOrder>43</b:RefOrder>
  </b:Source>
  <b:Source>
    <b:Tag>Bra18</b:Tag>
    <b:SourceType>Report</b:SourceType>
    <b:Guid>{061AAC87-07CF-4363-BC9A-4B992F4913DF}</b:Guid>
    <b:Author>
      <b:Author>
        <b:NameList>
          <b:Person>
            <b:Last>Bragg</b:Last>
            <b:First>Steven</b:First>
          </b:Person>
        </b:NameList>
      </b:Author>
    </b:Author>
    <b:Title>Inventory valuation</b:Title>
    <b:JournalName>Accounting Tools</b:JournalName>
    <b:Year>2018</b:Year>
    <b:Publisher>Accounting Tools</b:Publisher>
    <b:RefOrder>44</b:RefOrder>
  </b:Source>
  <b:Source>
    <b:Tag>SEA19</b:Tag>
    <b:SourceType>JournalArticle</b:SourceType>
    <b:Guid>{0D3A6022-D798-4C90-8AD0-5AB95B63F8D0}</b:Guid>
    <b:Author>
      <b:Author>
        <b:NameList>
          <b:Person>
            <b:Last>ROSS</b:Last>
            <b:First>SEAN</b:First>
          </b:Person>
        </b:NameList>
      </b:Author>
    </b:Author>
    <b:Title>How Does Inventory Accounting Differ Between GAAP and IFRS?</b:Title>
    <b:Year>2019</b:Year>
    <b:JournalName>investopedia</b:JournalName>
    <b:RefOrder>45</b:RefOrder>
  </b:Source>
  <b:Source>
    <b:Tag>JAM18</b:Tag>
    <b:SourceType>JournalArticle</b:SourceType>
    <b:Guid>{AD01164A-70B9-4F6F-956D-4D45C8CC3BCD}</b:Guid>
    <b:Author>
      <b:Author>
        <b:NameList>
          <b:Person>
            <b:Last>CHEN</b:Last>
            <b:First>JAMES</b:First>
          </b:Person>
        </b:NameList>
      </b:Author>
    </b:Author>
    <b:Title>Investment Property</b:Title>
    <b:JournalName>INVESTOPEIA</b:JournalName>
    <b:Year>2018</b:Year>
    <b:RefOrder>46</b:RefOrder>
  </b:Source>
  <b:Source>
    <b:Tag>Jaa07</b:Tag>
    <b:SourceType>JournalArticle</b:SourceType>
    <b:Guid>{6A2231CD-FC92-4BA7-A201-3F7E74B190ED}</b:Guid>
    <b:Author>
      <b:Author>
        <b:NameList>
          <b:Person>
            <b:Last>Jaafar</b:Last>
            <b:First>A.,</b:First>
            <b:Middle>&amp; McLeay, S</b:Middle>
          </b:Person>
        </b:NameList>
      </b:Author>
    </b:Author>
    <b:Title>Country Effects and Sector Effects on the Harmonization of Accounting Policy Choice</b:Title>
    <b:JournalName>Abacus</b:JournalName>
    <b:Year>2007</b:Year>
    <b:Pages>43(2), 156-189</b:Pages>
    <b:RefOrder>47</b:RefOrder>
  </b:Source>
  <b:Source>
    <b:Tag>Ell22</b:Tag>
    <b:SourceType>Book</b:SourceType>
    <b:Guid>{6AF60B5A-0FE6-4DA8-A31F-FEF2A84030F8}</b:Guid>
    <b:Title>Financial Accounting and Reporting</b:Title>
    <b:Year>2022</b:Year>
    <b:Publisher>Pearson</b:Publisher>
    <b:Author>
      <b:Author>
        <b:NameList>
          <b:Person>
            <b:Last>Elliott</b:Last>
            <b:First>J</b:First>
          </b:Person>
          <b:Person>
            <b:Last>Elliot</b:Last>
            <b:First>B</b:First>
          </b:Person>
        </b:NameList>
      </b:Author>
    </b:Author>
    <b:Edition>20th edition</b:Edition>
    <b:RefOrder>2</b:RefOrder>
  </b:Source>
  <b:Source>
    <b:Tag>Lee24</b:Tag>
    <b:SourceType>JournalArticle</b:SourceType>
    <b:Guid>{AD78DFDC-B80B-4971-8953-21D2D8F2FB0B}</b:Guid>
    <b:Title>The effect of the new revenue recognition principle (IFRS 15) on financial statement comparability: Evidence from Korea</b:Title>
    <b:Year>2024</b:Year>
    <b:JournalName>Journal of International Accounting, Auditing and Taxation</b:JournalName>
    <b:Pages>26-43</b:Pages>
    <b:Author>
      <b:Author>
        <b:NameList>
          <b:Person>
            <b:Last>Lee</b:Last>
            <b:Middle>Jae </b:Middle>
            <b:First>Woo</b:First>
          </b:Person>
          <b:Person>
            <b:Last>Choi </b:Last>
            <b:Middle>Seung</b:Middle>
            <b:First>Uk</b:First>
          </b:Person>
        </b:NameList>
      </b:Author>
    </b:Author>
    <b:Volume>54</b:Volume>
    <b:RefOrder>3</b:RefOrder>
  </b:Source>
</b:Sources>
</file>

<file path=customXml/itemProps1.xml><?xml version="1.0" encoding="utf-8"?>
<ds:datastoreItem xmlns:ds="http://schemas.openxmlformats.org/officeDocument/2006/customXml" ds:itemID="{393A1A71-B921-42A6-9FAC-9353D563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18</Pages>
  <Words>6195</Words>
  <Characters>35315</Characters>
  <Application>Microsoft Office Word</Application>
  <DocSecurity>0</DocSecurity>
  <Lines>294</Lines>
  <Paragraphs>82</Paragraphs>
  <ScaleCrop>false</ScaleCrop>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Yaaqbeh</dc:creator>
  <cp:keywords/>
  <dc:description/>
  <cp:lastModifiedBy>Mohammad Yaaqbeh</cp:lastModifiedBy>
  <cp:revision>97</cp:revision>
  <dcterms:created xsi:type="dcterms:W3CDTF">2024-03-19T08:31:00Z</dcterms:created>
  <dcterms:modified xsi:type="dcterms:W3CDTF">2025-12-27T09:05:00Z</dcterms:modified>
</cp:coreProperties>
</file>