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2A" w:rsidRPr="00C541EC" w:rsidRDefault="00A9212A" w:rsidP="00A9212A">
      <w:pPr>
        <w:jc w:val="center"/>
        <w:rPr>
          <w:rFonts w:cs="Simplified Arabic"/>
          <w:b/>
          <w:bCs/>
          <w:sz w:val="36"/>
          <w:szCs w:val="36"/>
        </w:rPr>
      </w:pPr>
      <w:r w:rsidRPr="00C541EC">
        <w:rPr>
          <w:rFonts w:cs="Simplified Arabic" w:hint="cs"/>
          <w:b/>
          <w:bCs/>
          <w:sz w:val="36"/>
          <w:szCs w:val="36"/>
          <w:rtl/>
        </w:rPr>
        <w:t>الحملة المصرية على مدينة عكا1831/1832م</w:t>
      </w:r>
    </w:p>
    <w:p w:rsidR="00A9212A" w:rsidRPr="00C541EC" w:rsidRDefault="00A9212A" w:rsidP="00A9212A">
      <w:pPr>
        <w:jc w:val="center"/>
        <w:rPr>
          <w:rFonts w:cs="Simplified Arabic"/>
          <w:b/>
          <w:bCs/>
          <w:sz w:val="28"/>
          <w:rtl/>
        </w:rPr>
      </w:pPr>
      <w:r w:rsidRPr="00C541EC">
        <w:rPr>
          <w:rFonts w:cs="Simplified Arabic" w:hint="cs"/>
          <w:b/>
          <w:bCs/>
          <w:sz w:val="28"/>
          <w:rtl/>
        </w:rPr>
        <w:t>الملخص</w:t>
      </w:r>
    </w:p>
    <w:p w:rsidR="00A9212A" w:rsidRPr="00C541EC" w:rsidRDefault="00A9212A" w:rsidP="00A9212A">
      <w:pPr>
        <w:jc w:val="both"/>
        <w:rPr>
          <w:rFonts w:cs="Simplified Arabic"/>
          <w:sz w:val="28"/>
          <w:rtl/>
        </w:rPr>
      </w:pPr>
      <w:r w:rsidRPr="00C541EC">
        <w:rPr>
          <w:rFonts w:cs="Simplified Arabic" w:hint="cs"/>
          <w:sz w:val="28"/>
          <w:rtl/>
        </w:rPr>
        <w:t xml:space="preserve">تعالج هذه الدراسة، الحملة العسكرية التي شنها والي مصر محمد علي باشا على مدينة عكا عام1831م، والتي شكلت أول مواجهة، إن جاز لنا التعبير بين الجيش المصري الناشىء ببنيته العربية، وتشكيلاته البرية والبحرية، النظامية وغير النظامية، وقياداته العربية، والمستعربة، من جهة، والدولة العثمانية وارثة الخلافة الإسلامية، وصاحبة الولاية الشرعية في الولايات العربية المنضوية تحت لوائها، بما فيها مصر من جهة ثانية، وجاء ذلك بعد عقدين من وقوفه إلى جانبها ومؤازرتها ماليا وعسكريا مما مكنها من مواجهة أعدائها في ميادين القتال في الجزيرة العربية وبلاد اليونان. </w:t>
      </w:r>
    </w:p>
    <w:p w:rsidR="00A9212A" w:rsidRPr="00C541EC" w:rsidRDefault="00A9212A" w:rsidP="00A9212A">
      <w:pPr>
        <w:jc w:val="both"/>
        <w:rPr>
          <w:rFonts w:cs="Simplified Arabic"/>
          <w:sz w:val="28"/>
          <w:rtl/>
        </w:rPr>
      </w:pPr>
      <w:r w:rsidRPr="00C541EC">
        <w:rPr>
          <w:rFonts w:cs="Simplified Arabic" w:hint="cs"/>
          <w:sz w:val="28"/>
          <w:rtl/>
        </w:rPr>
        <w:t xml:space="preserve"> وقد تم عرض الدراسة في ستة محاور رئيسية، أفرد الأول منها لمعالجة الدوافع التي حملت محمد علي باشا على تبديل مواقفه من خادم للدولة العثمانية إلى متمرد عليها استحق منها عقوبة العزل والإعدام، وخصص الثاني لبيان التشكيلات العسكرية التي انتظمت فيها: البرية والبحرية النظامية وغير النظامية، وعالج الثالث زحف هذه القوات وانتشارها في محيط مدينة عكا، وغيرها من المواقع لتأمين الخطوط الخلفية للوحدات المرابطة على حصار مدينة عكا. واشتملت على كل من غزة ويافا وحيفا والقدس ونابلس وجسر بنات يعقوب وصور وصيدا وبيروت وطرابلس وبعلبك وزحلة، وتناول الرابع مسألة ما تدفق عليها من إمدادات واشتملت على التعزيزات النظامية وغير النظامية والتموين والأسلحة، بينما كرس الخامس لعرض العمليات العسكرية، التي تخللت فترة الحصار، ابتداء من الانتشار في محيط تحصيناتها في27/11/1831م، وانتهاء باقتحامها في27/5/1832م، وما أسفرت عنه من خسائر مادية وبشرية، كما خصص السادس لعرض أهم النتائج التي توصلت إليها الدراسة، وذلك بالاعتماد على مجموعة متنوعة من المصادر والمراجع، وفي مقدمتها الوثائق المصرية المنشورة، وسجلات المحاكم الشرعية، وتقارير القناصل، ومذكرات شهود العيان، والمسوحات والجولات الميدانية.</w:t>
      </w:r>
    </w:p>
    <w:p w:rsidR="00A9212A" w:rsidRDefault="00A9212A" w:rsidP="00A9212A">
      <w:pPr>
        <w:jc w:val="both"/>
        <w:rPr>
          <w:rFonts w:cs="Simplified Arabic"/>
          <w:sz w:val="28"/>
        </w:rPr>
      </w:pPr>
      <w:r w:rsidRPr="00C541EC">
        <w:rPr>
          <w:rFonts w:cs="Simplified Arabic" w:hint="cs"/>
          <w:sz w:val="28"/>
          <w:rtl/>
        </w:rPr>
        <w:t>الكلمات الدالة:الحملة، القائ</w:t>
      </w:r>
      <w:r w:rsidRPr="00C541EC">
        <w:rPr>
          <w:rFonts w:cs="Simplified Arabic" w:hint="eastAsia"/>
          <w:sz w:val="28"/>
          <w:rtl/>
        </w:rPr>
        <w:t>د</w:t>
      </w:r>
      <w:r w:rsidRPr="00C541EC">
        <w:rPr>
          <w:rFonts w:cs="Simplified Arabic" w:hint="cs"/>
          <w:sz w:val="28"/>
          <w:rtl/>
        </w:rPr>
        <w:t xml:space="preserve"> العام، معسك</w:t>
      </w:r>
      <w:r w:rsidRPr="00C541EC">
        <w:rPr>
          <w:rFonts w:cs="Simplified Arabic" w:hint="eastAsia"/>
          <w:sz w:val="28"/>
          <w:rtl/>
        </w:rPr>
        <w:t>ر</w:t>
      </w:r>
      <w:r w:rsidRPr="00C541EC">
        <w:rPr>
          <w:rFonts w:cs="Simplified Arabic" w:hint="cs"/>
          <w:sz w:val="28"/>
          <w:rtl/>
        </w:rPr>
        <w:t xml:space="preserve"> عكا، الخطوط الخلفية.</w:t>
      </w:r>
    </w:p>
    <w:p w:rsidR="00A9212A" w:rsidRPr="00C541EC" w:rsidRDefault="00A9212A" w:rsidP="00A9212A">
      <w:pPr>
        <w:jc w:val="both"/>
        <w:rPr>
          <w:rFonts w:cs="Simplified Arabic"/>
          <w:sz w:val="28"/>
          <w:rtl/>
        </w:rPr>
      </w:pPr>
      <w:r w:rsidRPr="00C541EC">
        <w:rPr>
          <w:rFonts w:cs="Simplified Arabic"/>
          <w:sz w:val="28"/>
        </w:rPr>
        <w:t xml:space="preserve"> </w:t>
      </w:r>
    </w:p>
    <w:p w:rsidR="00A9212A" w:rsidRPr="00C541EC" w:rsidRDefault="00A9212A" w:rsidP="00A9212A">
      <w:pPr>
        <w:bidi w:val="0"/>
        <w:jc w:val="center"/>
        <w:rPr>
          <w:sz w:val="28"/>
        </w:rPr>
      </w:pPr>
      <w:r w:rsidRPr="00C541EC">
        <w:rPr>
          <w:sz w:val="28"/>
        </w:rPr>
        <w:t xml:space="preserve">Egyptian Expedition on </w:t>
      </w:r>
      <w:smartTag w:uri="urn:schemas-microsoft-com:office:smarttags" w:element="place">
        <w:r w:rsidRPr="00C541EC">
          <w:rPr>
            <w:sz w:val="28"/>
          </w:rPr>
          <w:t>Acre</w:t>
        </w:r>
      </w:smartTag>
      <w:r w:rsidRPr="00C541EC">
        <w:rPr>
          <w:sz w:val="28"/>
        </w:rPr>
        <w:t>: 1831-1832</w:t>
      </w:r>
    </w:p>
    <w:p w:rsidR="00A9212A" w:rsidRPr="00C541EC" w:rsidRDefault="00A9212A" w:rsidP="00A9212A">
      <w:pPr>
        <w:bidi w:val="0"/>
        <w:jc w:val="center"/>
        <w:rPr>
          <w:sz w:val="28"/>
        </w:rPr>
      </w:pPr>
    </w:p>
    <w:p w:rsidR="00A9212A" w:rsidRPr="00C541EC" w:rsidRDefault="00A9212A" w:rsidP="00A9212A">
      <w:pPr>
        <w:bidi w:val="0"/>
        <w:jc w:val="center"/>
        <w:rPr>
          <w:sz w:val="28"/>
        </w:rPr>
      </w:pPr>
      <w:r w:rsidRPr="00C541EC">
        <w:rPr>
          <w:sz w:val="28"/>
        </w:rPr>
        <w:t>Abstract</w:t>
      </w:r>
    </w:p>
    <w:p w:rsidR="00A9212A" w:rsidRPr="00C541EC" w:rsidRDefault="00A9212A" w:rsidP="00A9212A">
      <w:pPr>
        <w:bidi w:val="0"/>
        <w:jc w:val="both"/>
        <w:rPr>
          <w:sz w:val="28"/>
        </w:rPr>
      </w:pPr>
    </w:p>
    <w:p w:rsidR="00A9212A" w:rsidRPr="00C541EC" w:rsidRDefault="00A9212A" w:rsidP="00A9212A">
      <w:pPr>
        <w:bidi w:val="0"/>
        <w:jc w:val="lowKashida"/>
        <w:rPr>
          <w:rFonts w:cs="Simplified Arabic"/>
          <w:b/>
          <w:bCs/>
          <w:sz w:val="36"/>
          <w:szCs w:val="36"/>
          <w:rtl/>
        </w:rPr>
      </w:pPr>
      <w:r w:rsidRPr="00C541EC">
        <w:rPr>
          <w:sz w:val="28"/>
        </w:rPr>
        <w:t xml:space="preserve">This paper examines the military expedition on Acre, </w:t>
      </w:r>
      <w:smartTag w:uri="urn:schemas-microsoft-com:office:smarttags" w:element="City">
        <w:smartTag w:uri="urn:schemas-microsoft-com:office:smarttags" w:element="place">
          <w:r w:rsidRPr="00C541EC">
            <w:rPr>
              <w:sz w:val="28"/>
            </w:rPr>
            <w:t>Palestine</w:t>
          </w:r>
        </w:smartTag>
      </w:smartTag>
      <w:r w:rsidRPr="00C541EC">
        <w:rPr>
          <w:sz w:val="28"/>
        </w:rPr>
        <w:t xml:space="preserve"> in 1831 waged by wali of Egypt Mohammed Ali Pasha. This expedition was the first confrontation between the then nascent Arab Egyptian army, in all its formations, namely land forces and marine, regular and irregular, its Arab leaderships and Arabised ones on </w:t>
      </w:r>
      <w:r w:rsidRPr="00C541EC">
        <w:rPr>
          <w:sz w:val="28"/>
        </w:rPr>
        <w:lastRenderedPageBreak/>
        <w:t xml:space="preserve">one hand, and the Ottoman state, heir of the Islamic caliphate and holder of legal custodianship in the Arab provinces under its umbrella, including Egypt, on the other hand. That came two decades after siding with and supporting it financially and militarily, thereby enabling it to withstand its enemies in the battlefields in the </w:t>
      </w:r>
      <w:smartTag w:uri="urn:schemas-microsoft-com:office:smarttags" w:element="place">
        <w:r w:rsidRPr="00C541EC">
          <w:rPr>
            <w:sz w:val="28"/>
          </w:rPr>
          <w:t>Arabian Peninsula</w:t>
        </w:r>
      </w:smartTag>
      <w:r w:rsidRPr="00C541EC">
        <w:rPr>
          <w:sz w:val="28"/>
        </w:rPr>
        <w:t xml:space="preserve"> and Greek lands. The researcher tackled six tracks. The first dealt with the reasons behind Mohammed Ali Pasha’s change of stands from a custodian of the Ottoman caliphate to a mutinee against it, thus deserving deposition and execution. The second track was devoted to the different formations of regular and irregular ground and marine forces. The third tackled their march and deployment in the vicinity of Acre and other sites to secure the backlines of units stationed around Acre, </w:t>
      </w:r>
      <w:smartTag w:uri="urn:schemas-microsoft-com:office:smarttags" w:element="City">
        <w:r w:rsidRPr="00C541EC">
          <w:rPr>
            <w:sz w:val="28"/>
          </w:rPr>
          <w:t>Gaza</w:t>
        </w:r>
      </w:smartTag>
      <w:r w:rsidRPr="00C541EC">
        <w:rPr>
          <w:sz w:val="28"/>
        </w:rPr>
        <w:t xml:space="preserve">, </w:t>
      </w:r>
      <w:smartTag w:uri="urn:schemas-microsoft-com:office:smarttags" w:element="City">
        <w:r w:rsidRPr="00C541EC">
          <w:rPr>
            <w:sz w:val="28"/>
          </w:rPr>
          <w:t>Jaffa</w:t>
        </w:r>
      </w:smartTag>
      <w:r w:rsidRPr="00C541EC">
        <w:rPr>
          <w:sz w:val="28"/>
        </w:rPr>
        <w:t xml:space="preserve">, </w:t>
      </w:r>
      <w:smartTag w:uri="urn:schemas-microsoft-com:office:smarttags" w:element="City">
        <w:r w:rsidRPr="00C541EC">
          <w:rPr>
            <w:sz w:val="28"/>
          </w:rPr>
          <w:t>Haifa</w:t>
        </w:r>
      </w:smartTag>
      <w:r w:rsidRPr="00C541EC">
        <w:rPr>
          <w:sz w:val="28"/>
        </w:rPr>
        <w:t xml:space="preserve">, </w:t>
      </w:r>
      <w:smartTag w:uri="urn:schemas-microsoft-com:office:smarttags" w:element="City">
        <w:r w:rsidRPr="00C541EC">
          <w:rPr>
            <w:sz w:val="28"/>
          </w:rPr>
          <w:t>Jerusalem</w:t>
        </w:r>
      </w:smartTag>
      <w:r w:rsidRPr="00C541EC">
        <w:rPr>
          <w:sz w:val="28"/>
        </w:rPr>
        <w:t xml:space="preserve">, </w:t>
      </w:r>
      <w:smartTag w:uri="urn:schemas-microsoft-com:office:smarttags" w:element="City">
        <w:r w:rsidRPr="00C541EC">
          <w:rPr>
            <w:sz w:val="28"/>
          </w:rPr>
          <w:t>Nablus</w:t>
        </w:r>
      </w:smartTag>
      <w:r w:rsidRPr="00C541EC">
        <w:rPr>
          <w:sz w:val="28"/>
        </w:rPr>
        <w:t xml:space="preserve">, Banat Ya’coub Bridge, </w:t>
      </w:r>
      <w:smartTag w:uri="urn:schemas-microsoft-com:office:smarttags" w:element="City">
        <w:r w:rsidRPr="00C541EC">
          <w:rPr>
            <w:sz w:val="28"/>
          </w:rPr>
          <w:t>Tyre</w:t>
        </w:r>
      </w:smartTag>
      <w:r w:rsidRPr="00C541EC">
        <w:rPr>
          <w:sz w:val="28"/>
        </w:rPr>
        <w:t xml:space="preserve">, </w:t>
      </w:r>
      <w:smartTag w:uri="urn:schemas-microsoft-com:office:smarttags" w:element="City">
        <w:r w:rsidRPr="00C541EC">
          <w:rPr>
            <w:sz w:val="28"/>
          </w:rPr>
          <w:t>Sidon</w:t>
        </w:r>
      </w:smartTag>
      <w:r w:rsidRPr="00C541EC">
        <w:rPr>
          <w:sz w:val="28"/>
        </w:rPr>
        <w:t xml:space="preserve">, </w:t>
      </w:r>
      <w:smartTag w:uri="urn:schemas-microsoft-com:office:smarttags" w:element="City">
        <w:r w:rsidRPr="00C541EC">
          <w:rPr>
            <w:sz w:val="28"/>
          </w:rPr>
          <w:t>Beirut</w:t>
        </w:r>
      </w:smartTag>
      <w:r w:rsidRPr="00C541EC">
        <w:rPr>
          <w:sz w:val="28"/>
        </w:rPr>
        <w:t xml:space="preserve">, </w:t>
      </w:r>
      <w:smartTag w:uri="urn:schemas-microsoft-com:office:smarttags" w:element="place">
        <w:smartTag w:uri="urn:schemas-microsoft-com:office:smarttags" w:element="City">
          <w:r w:rsidRPr="00C541EC">
            <w:rPr>
              <w:sz w:val="28"/>
            </w:rPr>
            <w:t>Tripoli</w:t>
          </w:r>
        </w:smartTag>
      </w:smartTag>
      <w:r w:rsidRPr="00C541EC">
        <w:rPr>
          <w:sz w:val="28"/>
        </w:rPr>
        <w:t>, Ba’albeck and Zahle. The fourth track examined the flow of supplies to it including regular and irregular reinforcement, food and weapon supplies. The fifth track looked at the military operations, during the siege of the city, starting from the deployment around its fortifications on Nov. 27, 1831 and ending with the storming of the city on May 27, 1832, leaving a lot of human and material losses. The last track was devoted to the most important findings of the study. Relevant primary sources reviewed included published Egyptian documents, records of Islamic courts, consuls’ reports, diaries of eye witnesses, surveys and field visits.</w:t>
      </w:r>
    </w:p>
    <w:p w:rsidR="00655D9B" w:rsidRDefault="00655D9B"/>
    <w:sectPr w:rsidR="00655D9B" w:rsidSect="00655D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12A"/>
    <w:rsid w:val="00655D9B"/>
    <w:rsid w:val="00A921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2A"/>
    <w:pPr>
      <w:bidi/>
      <w:spacing w:after="0" w:line="240" w:lineRule="auto"/>
    </w:pPr>
    <w:rPr>
      <w:rFonts w:ascii="Times New Roman" w:eastAsia="Times New Roman" w:hAnsi="Times New Roman" w:cs="Times New Roman"/>
      <w:noProof/>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wahbeh</dc:creator>
  <cp:lastModifiedBy>mohammed wahbeh</cp:lastModifiedBy>
  <cp:revision>1</cp:revision>
  <dcterms:created xsi:type="dcterms:W3CDTF">2015-04-27T10:18:00Z</dcterms:created>
  <dcterms:modified xsi:type="dcterms:W3CDTF">2015-04-27T10:18:00Z</dcterms:modified>
</cp:coreProperties>
</file>