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85" w:rsidRPr="00044360" w:rsidRDefault="00260885" w:rsidP="00260885">
      <w:pPr>
        <w:spacing w:after="12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044360">
        <w:rPr>
          <w:rFonts w:cs="Simplified Arabic" w:hint="cs"/>
          <w:b/>
          <w:bCs/>
          <w:sz w:val="32"/>
          <w:szCs w:val="32"/>
          <w:rtl/>
        </w:rPr>
        <w:t>بسم الله الرحمن الرحيم</w:t>
      </w:r>
    </w:p>
    <w:p w:rsidR="00260885" w:rsidRPr="00BF25E8" w:rsidRDefault="00260885" w:rsidP="00260885">
      <w:pPr>
        <w:spacing w:after="12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 w:rsidRPr="00BF25E8">
        <w:rPr>
          <w:rFonts w:cs="Simplified Arabic" w:hint="cs"/>
          <w:b/>
          <w:bCs/>
          <w:sz w:val="36"/>
          <w:szCs w:val="36"/>
          <w:rtl/>
        </w:rPr>
        <w:t>السّيرة</w:t>
      </w:r>
      <w:r>
        <w:rPr>
          <w:rFonts w:cs="Simplified Arabic" w:hint="cs"/>
          <w:b/>
          <w:bCs/>
          <w:sz w:val="36"/>
          <w:szCs w:val="36"/>
          <w:rtl/>
        </w:rPr>
        <w:t>ُ</w:t>
      </w:r>
      <w:r w:rsidRPr="00BF25E8">
        <w:rPr>
          <w:rFonts w:cs="Simplified Arabic" w:hint="cs"/>
          <w:b/>
          <w:bCs/>
          <w:sz w:val="36"/>
          <w:szCs w:val="36"/>
          <w:rtl/>
        </w:rPr>
        <w:t xml:space="preserve"> الذاتيّةُ</w:t>
      </w:r>
    </w:p>
    <w:p w:rsidR="00260885" w:rsidRPr="00BF25E8" w:rsidRDefault="00260885" w:rsidP="00260885">
      <w:pPr>
        <w:spacing w:after="120" w:line="240" w:lineRule="auto"/>
        <w:jc w:val="center"/>
        <w:rPr>
          <w:rFonts w:cs="Simplified Arabic"/>
          <w:b/>
          <w:bCs/>
          <w:sz w:val="36"/>
          <w:szCs w:val="36"/>
          <w:rtl/>
        </w:rPr>
      </w:pPr>
      <w:r w:rsidRPr="00BF25E8">
        <w:rPr>
          <w:rFonts w:cs="Simplified Arabic" w:hint="cs"/>
          <w:b/>
          <w:bCs/>
          <w:sz w:val="36"/>
          <w:szCs w:val="36"/>
          <w:rtl/>
        </w:rPr>
        <w:t>الدكتور فتحي إبراهيم أحمد خضر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242"/>
      </w:tblGrid>
      <w:tr w:rsidR="00260885" w:rsidRPr="003A66EA" w:rsidTr="007141FC">
        <w:tc>
          <w:tcPr>
            <w:tcW w:w="9242" w:type="dxa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</w:rPr>
              <w:t>أولاً: البيانات الشخصيّة:</w:t>
            </w:r>
          </w:p>
        </w:tc>
      </w:tr>
    </w:tbl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الاسم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فتحي إبراهيم أحمد خضر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تاريخ الميلاد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27/3/1953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مكان الولادة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: </w:t>
      </w:r>
      <w:proofErr w:type="spellStart"/>
      <w:r>
        <w:rPr>
          <w:rFonts w:cs="Simplified Arabic" w:hint="cs"/>
          <w:sz w:val="28"/>
          <w:szCs w:val="28"/>
          <w:rtl/>
        </w:rPr>
        <w:t>سلفيت</w:t>
      </w:r>
      <w:proofErr w:type="spellEnd"/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الحالة الاجتماعية</w:t>
      </w:r>
      <w:r>
        <w:rPr>
          <w:rFonts w:cs="Simplified Arabic" w:hint="cs"/>
          <w:sz w:val="28"/>
          <w:szCs w:val="28"/>
          <w:rtl/>
        </w:rPr>
        <w:tab/>
        <w:t>: مُتزوّج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الجنسيّة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فلسطينيّة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مكان العمل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: جامعةُ النّجاح الوطنيّة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نابلس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فلسطين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  كلية الآداب / قسم اللغة العربية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تاريخ التّعيين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1/1/1978، وما أزالُ على رأس عملي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الرّتبةُ العلميّةُ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أُسْتاذٌ مُساعِدٌ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التخصّص الدقيق</w:t>
      </w:r>
      <w:r>
        <w:rPr>
          <w:rFonts w:cs="Simplified Arabic" w:hint="cs"/>
          <w:sz w:val="28"/>
          <w:szCs w:val="28"/>
          <w:rtl/>
        </w:rPr>
        <w:tab/>
        <w:t>: الأدب الجاهلي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الاهتمام البحثي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- الأدب القديم</w:t>
      </w:r>
    </w:p>
    <w:p w:rsidR="00260885" w:rsidRDefault="00260885" w:rsidP="00260885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النقد الأدبي عند العرب</w:t>
      </w:r>
    </w:p>
    <w:p w:rsidR="00260885" w:rsidRDefault="00260885" w:rsidP="00260885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الأخطاء اللغوية الشّائعة في وسائل الإعلام، والكُتُبِ الجامعيّة المرجعيّة</w:t>
      </w:r>
    </w:p>
    <w:p w:rsidR="00260885" w:rsidRDefault="00260885" w:rsidP="00260885">
      <w:pPr>
        <w:spacing w:after="0" w:line="240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وسائل الاتصال</w:t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: 102150(599)970+</w:t>
      </w:r>
    </w:p>
    <w:p w:rsidR="00260885" w:rsidRDefault="00260885" w:rsidP="00260885">
      <w:pPr>
        <w:spacing w:after="0" w:line="240" w:lineRule="auto"/>
        <w:jc w:val="both"/>
        <w:rPr>
          <w:rtl/>
        </w:rPr>
      </w:pP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>البريد الالكتروني</w:t>
      </w:r>
      <w:r>
        <w:rPr>
          <w:rFonts w:cs="Simplified Arabic" w:hint="cs"/>
          <w:sz w:val="28"/>
          <w:szCs w:val="28"/>
          <w:rtl/>
        </w:rPr>
        <w:tab/>
        <w:t xml:space="preserve">: </w:t>
      </w:r>
      <w:hyperlink r:id="rId5" w:history="1">
        <w:r w:rsidRPr="00DE4DD0">
          <w:rPr>
            <w:rStyle w:val="Hyperlink"/>
            <w:rFonts w:cs="Simplified Arabic"/>
            <w:sz w:val="28"/>
            <w:szCs w:val="28"/>
            <w:lang w:bidi="ar-JO"/>
          </w:rPr>
          <w:t>fathikhader@najah.edu</w:t>
        </w:r>
      </w:hyperlink>
    </w:p>
    <w:p w:rsidR="00260885" w:rsidRPr="00044360" w:rsidRDefault="00260885" w:rsidP="00260885">
      <w:pPr>
        <w:spacing w:after="0"/>
        <w:jc w:val="both"/>
        <w:rPr>
          <w:rFonts w:cs="Simplified Arabic"/>
          <w:sz w:val="12"/>
          <w:szCs w:val="12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310"/>
        <w:gridCol w:w="2310"/>
        <w:gridCol w:w="1820"/>
        <w:gridCol w:w="2802"/>
      </w:tblGrid>
      <w:tr w:rsidR="00260885" w:rsidRPr="003A66EA" w:rsidTr="007141FC">
        <w:tc>
          <w:tcPr>
            <w:tcW w:w="9242" w:type="dxa"/>
            <w:gridSpan w:val="4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ثانياً: المؤهّلات العلميّة: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المؤهّل العلميّ</w:t>
            </w:r>
          </w:p>
        </w:tc>
        <w:tc>
          <w:tcPr>
            <w:tcW w:w="23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الجامعة</w:t>
            </w: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سنة التخرّج</w:t>
            </w:r>
          </w:p>
        </w:tc>
        <w:tc>
          <w:tcPr>
            <w:tcW w:w="28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التّقدير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10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البكالوريوس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الجامعة الأردنيّة</w:t>
            </w:r>
          </w:p>
        </w:tc>
        <w:tc>
          <w:tcPr>
            <w:tcW w:w="1820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1976</w:t>
            </w:r>
          </w:p>
        </w:tc>
        <w:tc>
          <w:tcPr>
            <w:tcW w:w="2802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جيّد جداً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1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1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النّجاح الوطنيّة</w:t>
            </w:r>
          </w:p>
        </w:tc>
        <w:tc>
          <w:tcPr>
            <w:tcW w:w="182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1995</w:t>
            </w:r>
          </w:p>
        </w:tc>
        <w:tc>
          <w:tcPr>
            <w:tcW w:w="2802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1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الدكتوراه</w:t>
            </w:r>
          </w:p>
        </w:tc>
        <w:tc>
          <w:tcPr>
            <w:tcW w:w="231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النّيلَيْن</w:t>
            </w:r>
          </w:p>
        </w:tc>
        <w:tc>
          <w:tcPr>
            <w:tcW w:w="182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2001</w:t>
            </w:r>
          </w:p>
        </w:tc>
        <w:tc>
          <w:tcPr>
            <w:tcW w:w="2802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تقاليد الجامعة لا تمنح تقديراً</w:t>
            </w:r>
          </w:p>
        </w:tc>
      </w:tr>
    </w:tbl>
    <w:p w:rsidR="00260885" w:rsidRPr="00044360" w:rsidRDefault="00260885" w:rsidP="00260885">
      <w:pPr>
        <w:jc w:val="both"/>
        <w:rPr>
          <w:rFonts w:cs="Simplified Arabic"/>
          <w:sz w:val="14"/>
          <w:szCs w:val="14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/>
      </w:tblPr>
      <w:tblGrid>
        <w:gridCol w:w="2232"/>
        <w:gridCol w:w="7010"/>
      </w:tblGrid>
      <w:tr w:rsidR="00260885" w:rsidRPr="003A66EA" w:rsidTr="007141FC">
        <w:tc>
          <w:tcPr>
            <w:tcW w:w="9242" w:type="dxa"/>
            <w:gridSpan w:val="2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ثالثاً: الرّسائل الجامعيّة:</w:t>
            </w:r>
          </w:p>
        </w:tc>
      </w:tr>
      <w:tr w:rsidR="00260885" w:rsidRPr="003A66EA" w:rsidTr="007141FC">
        <w:tblPrEx>
          <w:tblBorders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2232" w:type="dxa"/>
          </w:tcPr>
          <w:p w:rsidR="00260885" w:rsidRPr="003A66EA" w:rsidRDefault="00260885" w:rsidP="007141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الماجستير</w:t>
            </w:r>
            <w:r>
              <w:rPr>
                <w:rFonts w:cs="Simplified Arabic"/>
                <w:sz w:val="28"/>
                <w:szCs w:val="28"/>
                <w:lang w:bidi="ar-JO"/>
              </w:rPr>
              <w:t>:</w:t>
            </w:r>
          </w:p>
        </w:tc>
        <w:tc>
          <w:tcPr>
            <w:tcW w:w="7010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حركة الشّعر في بني </w:t>
            </w:r>
            <w:proofErr w:type="spellStart"/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نَهْشَلٍ</w:t>
            </w:r>
            <w:proofErr w:type="spellEnd"/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 تميم في العصر الجاهليّ، جامعة النجاح الوطنية، 1995.</w:t>
            </w:r>
          </w:p>
        </w:tc>
      </w:tr>
      <w:tr w:rsidR="00260885" w:rsidRPr="003A66EA" w:rsidTr="007141FC">
        <w:tblPrEx>
          <w:tblBorders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2232" w:type="dxa"/>
          </w:tcPr>
          <w:p w:rsidR="00260885" w:rsidRPr="003A66EA" w:rsidRDefault="00260885" w:rsidP="007141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الدّكتوراه</w:t>
            </w:r>
            <w:r>
              <w:rPr>
                <w:rFonts w:cs="Simplified Arabic"/>
                <w:sz w:val="28"/>
                <w:szCs w:val="28"/>
                <w:lang w:bidi="ar-JO"/>
              </w:rPr>
              <w:t>:</w:t>
            </w:r>
          </w:p>
        </w:tc>
        <w:tc>
          <w:tcPr>
            <w:tcW w:w="7010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مكانة الشّاعر في المجتمع الجاهليّ، جامعة النّيلَيْن، 2001.</w:t>
            </w:r>
          </w:p>
        </w:tc>
      </w:tr>
    </w:tbl>
    <w:p w:rsidR="00260885" w:rsidRPr="003373C4" w:rsidRDefault="00260885" w:rsidP="00260885">
      <w:pPr>
        <w:jc w:val="both"/>
        <w:rPr>
          <w:rFonts w:cs="Simplified Arabic"/>
          <w:sz w:val="2"/>
          <w:szCs w:val="2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080"/>
        <w:gridCol w:w="4494"/>
        <w:gridCol w:w="1668"/>
      </w:tblGrid>
      <w:tr w:rsidR="00260885" w:rsidRPr="003A66EA" w:rsidTr="007141FC">
        <w:tc>
          <w:tcPr>
            <w:tcW w:w="9242" w:type="dxa"/>
            <w:gridSpan w:val="3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رابعاً: الكُتُبُ المُحَكَّمَة المقرّرة في جامعة النجاح الوطنية وبعض الجامعات الفلسطينية: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اسمُ الكتابِ</w:t>
            </w:r>
          </w:p>
        </w:tc>
        <w:tc>
          <w:tcPr>
            <w:tcW w:w="4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جِهَةُ التّحكيم</w:t>
            </w: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تاريخ التّحكيم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80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1- قضايا الشّعر الجاهليّ</w:t>
            </w:r>
          </w:p>
        </w:tc>
        <w:tc>
          <w:tcPr>
            <w:tcW w:w="4494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جامعةُ النّجاح الوَطَنيّةُ / عِمادةُ البَحْثِ العِلْميّ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2002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080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2- اللّغة العربيّة "ض"</w:t>
            </w:r>
          </w:p>
        </w:tc>
        <w:tc>
          <w:tcPr>
            <w:tcW w:w="4494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جامعةُ النّجاح الوَطَنيّةُ / عِمادَةُ البَحْثِ العِلْميّ</w:t>
            </w:r>
          </w:p>
        </w:tc>
        <w:tc>
          <w:tcPr>
            <w:tcW w:w="1668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2002</w:t>
            </w:r>
          </w:p>
        </w:tc>
      </w:tr>
    </w:tbl>
    <w:p w:rsidR="00260885" w:rsidRPr="009F67DB" w:rsidRDefault="00260885" w:rsidP="00260885">
      <w:pPr>
        <w:jc w:val="both"/>
        <w:rPr>
          <w:rFonts w:cs="Simplified Arabic"/>
          <w:sz w:val="2"/>
          <w:szCs w:val="2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/>
      </w:tblPr>
      <w:tblGrid>
        <w:gridCol w:w="4994"/>
        <w:gridCol w:w="2160"/>
        <w:gridCol w:w="2088"/>
      </w:tblGrid>
      <w:tr w:rsidR="00260885" w:rsidRPr="003A66EA" w:rsidTr="007141FC">
        <w:tc>
          <w:tcPr>
            <w:tcW w:w="9242" w:type="dxa"/>
            <w:gridSpan w:val="3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خامساً: الأَبْحاثُ المُحَكَّمَةُ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اسم البَحْثِ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جِهَةُ التّحكيم</w:t>
            </w: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تاريخُ المُوافَقَةِ على النّشْر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- قراءة جديدة في لاميّة كَعْبِ بْنِ زُهَيْرٍ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جامِعَةُ القُدْسِ المَفتوحَةُ</w:t>
            </w: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23/2/2005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- وصايا الآباء في الشّعر الجاهليّ والإسلاميّ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جامِعَةُ النّجاحِ الوَطَنيّةُ</w:t>
            </w:r>
          </w:p>
        </w:tc>
        <w:tc>
          <w:tcPr>
            <w:tcW w:w="208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17/5/2005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- قراءة نقديّة في قصيدة حَسّانَ بْنِ ثابتٍ العَيْنِيّةِ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جامِعَةُ القُدْسِ المَفْتوحَةُ</w:t>
            </w:r>
          </w:p>
        </w:tc>
        <w:tc>
          <w:tcPr>
            <w:tcW w:w="208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10/7/2007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Pr="003A66EA" w:rsidRDefault="00260885" w:rsidP="007141FC">
            <w:pPr>
              <w:spacing w:after="0" w:line="240" w:lineRule="auto"/>
              <w:ind w:left="379" w:hanging="3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- صورة الحياة العامّة في عصر ما قبل الإسلام في آثار الدّارسين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</w:t>
            </w:r>
            <w:r>
              <w:rPr>
                <w:rFonts w:cs="Simplified Arabic" w:hint="cs"/>
                <w:sz w:val="28"/>
                <w:szCs w:val="28"/>
                <w:rtl/>
              </w:rPr>
              <w:t>ُ</w:t>
            </w: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بيت لحم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َ</w:t>
            </w:r>
          </w:p>
        </w:tc>
        <w:tc>
          <w:tcPr>
            <w:tcW w:w="208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3/1/2013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Pr="003A66EA" w:rsidRDefault="00260885" w:rsidP="007141FC">
            <w:pPr>
              <w:spacing w:after="0" w:line="240" w:lineRule="auto"/>
              <w:ind w:left="379" w:hanging="379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- تراجع الأداء اللغوي في وسائل الإعلام العربيّة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ُ</w:t>
            </w: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العلوم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ِ</w:t>
            </w: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الإسلامية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ُ</w:t>
            </w: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العالمية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ُ</w:t>
            </w:r>
          </w:p>
        </w:tc>
        <w:tc>
          <w:tcPr>
            <w:tcW w:w="208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26/5/2013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Default="00260885" w:rsidP="007141FC">
            <w:pPr>
              <w:tabs>
                <w:tab w:val="left" w:pos="3295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- المؤثّرات الصّوتية وأثرها في تشكيل النّص الشّعري </w:t>
            </w:r>
          </w:p>
          <w:p w:rsidR="00260885" w:rsidRPr="003A66EA" w:rsidRDefault="00260885" w:rsidP="007141FC">
            <w:pPr>
              <w:tabs>
                <w:tab w:val="left" w:pos="3295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قصيدة البحتري السّينية أُنموذجاً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>جامعة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ُ</w:t>
            </w:r>
            <w:r w:rsidRPr="003A66EA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الخليل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208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22/5/2015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4994" w:type="dxa"/>
          </w:tcPr>
          <w:p w:rsidR="00260885" w:rsidRDefault="00260885" w:rsidP="007141FC">
            <w:pPr>
              <w:tabs>
                <w:tab w:val="left" w:pos="3295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- نَحْوَ نَسَقٍ منهجي لدراسة النصّ الشّعري الجاهلي،</w:t>
            </w:r>
          </w:p>
          <w:p w:rsidR="00260885" w:rsidRPr="003A66EA" w:rsidRDefault="00260885" w:rsidP="007141FC">
            <w:pPr>
              <w:tabs>
                <w:tab w:val="left" w:pos="3295"/>
              </w:tabs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لاميّة العرب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للشنفرى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الأزدي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أُنموذجاً.</w:t>
            </w:r>
          </w:p>
        </w:tc>
        <w:tc>
          <w:tcPr>
            <w:tcW w:w="2160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العلوم الإسلامية العالمية</w:t>
            </w:r>
          </w:p>
        </w:tc>
        <w:tc>
          <w:tcPr>
            <w:tcW w:w="2088" w:type="dxa"/>
          </w:tcPr>
          <w:p w:rsidR="00260885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29/6/2015</w:t>
            </w:r>
          </w:p>
        </w:tc>
      </w:tr>
    </w:tbl>
    <w:p w:rsidR="00260885" w:rsidRDefault="00260885" w:rsidP="00260885">
      <w:pPr>
        <w:rPr>
          <w:sz w:val="6"/>
          <w:szCs w:val="6"/>
          <w:rtl/>
        </w:rPr>
      </w:pPr>
    </w:p>
    <w:p w:rsidR="00260885" w:rsidRDefault="00260885" w:rsidP="00260885">
      <w:pPr>
        <w:rPr>
          <w:sz w:val="6"/>
          <w:szCs w:val="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/>
      </w:tblPr>
      <w:tblGrid>
        <w:gridCol w:w="5804"/>
        <w:gridCol w:w="3438"/>
      </w:tblGrid>
      <w:tr w:rsidR="00260885" w:rsidRPr="003A66EA" w:rsidTr="007141FC">
        <w:tc>
          <w:tcPr>
            <w:tcW w:w="9242" w:type="dxa"/>
            <w:gridSpan w:val="2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سادساً: </w:t>
            </w: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أَبحاث مرسلة للتحكيم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804" w:type="dxa"/>
            <w:tcBorders>
              <w:top w:val="double" w:sz="4" w:space="0" w:color="auto"/>
            </w:tcBorders>
          </w:tcPr>
          <w:p w:rsidR="00260885" w:rsidRPr="003E55A9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1. جدليّة الحياة والموت في عينيّة أَبي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ذُؤَيْبٍ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الهُذَليّ.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مَجْمَعُ اللّغة العربية الأردنيُّ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804" w:type="dxa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2. الوجوديّة في معلّقةِ طرفةَ بْنِ العَبْدِ البكريّ</w:t>
            </w:r>
          </w:p>
        </w:tc>
        <w:tc>
          <w:tcPr>
            <w:tcW w:w="3438" w:type="dxa"/>
          </w:tcPr>
          <w:p w:rsidR="00260885" w:rsidRPr="003A66EA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الشارقة</w:t>
            </w:r>
          </w:p>
        </w:tc>
      </w:tr>
      <w:tr w:rsidR="00260885" w:rsidRPr="003A66EA" w:rsidTr="007141FC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5804" w:type="dxa"/>
          </w:tcPr>
          <w:p w:rsidR="00260885" w:rsidRDefault="00260885" w:rsidP="007141FC">
            <w:pPr>
              <w:spacing w:after="0" w:line="240" w:lineRule="auto"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3. دور المتلقي في إعادة إنتاج النص </w:t>
            </w:r>
          </w:p>
        </w:tc>
        <w:tc>
          <w:tcPr>
            <w:tcW w:w="3438" w:type="dxa"/>
          </w:tcPr>
          <w:p w:rsidR="00260885" w:rsidRDefault="00260885" w:rsidP="007141FC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جامعة الزرقاء الأهلية </w:t>
            </w:r>
          </w:p>
        </w:tc>
      </w:tr>
    </w:tbl>
    <w:p w:rsidR="00260885" w:rsidRDefault="00260885" w:rsidP="00260885">
      <w:pPr>
        <w:rPr>
          <w:sz w:val="6"/>
          <w:szCs w:val="6"/>
          <w:rtl/>
          <w:lang w:bidi="ar-JO"/>
        </w:rPr>
      </w:pPr>
    </w:p>
    <w:p w:rsidR="00260885" w:rsidRDefault="00260885" w:rsidP="00260885">
      <w:pPr>
        <w:rPr>
          <w:sz w:val="6"/>
          <w:szCs w:val="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4A0"/>
      </w:tblPr>
      <w:tblGrid>
        <w:gridCol w:w="9242"/>
      </w:tblGrid>
      <w:tr w:rsidR="00260885" w:rsidRPr="003A66EA" w:rsidTr="007141FC">
        <w:tc>
          <w:tcPr>
            <w:tcW w:w="9242" w:type="dxa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سابعاً: </w:t>
            </w:r>
            <w:r w:rsidRPr="003A66EA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أبحاث منشورة غير محكّمة:</w:t>
            </w:r>
          </w:p>
        </w:tc>
      </w:tr>
    </w:tbl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اللافتات التجارية في مدينة نابلس وأثرها في اللغة العربية.</w:t>
      </w:r>
    </w:p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التفكير النقدي عند العرب في العصر الجاهلي.</w:t>
      </w:r>
    </w:p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قيمة الشّعر الجاهلي الكبرى.</w:t>
      </w:r>
    </w:p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القصّة الشّعرية بدأها امرؤ </w:t>
      </w:r>
      <w:proofErr w:type="spellStart"/>
      <w:r>
        <w:rPr>
          <w:rFonts w:cs="Simplified Arabic" w:hint="cs"/>
          <w:sz w:val="28"/>
          <w:szCs w:val="28"/>
          <w:rtl/>
          <w:lang w:bidi="ar-JO"/>
        </w:rPr>
        <w:t>القيس</w:t>
      </w:r>
      <w:proofErr w:type="spellEnd"/>
      <w:r>
        <w:rPr>
          <w:rFonts w:cs="Simplified Arabic" w:hint="cs"/>
          <w:sz w:val="28"/>
          <w:szCs w:val="28"/>
          <w:rtl/>
          <w:lang w:bidi="ar-JO"/>
        </w:rPr>
        <w:t xml:space="preserve"> في الجاهلية وأَتَمّها عمر بن أبي ربيعة في الإسلام.</w:t>
      </w:r>
    </w:p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lastRenderedPageBreak/>
        <w:t>أبو العلاء المعرّي في تزاحم الأَضداد.</w:t>
      </w:r>
    </w:p>
    <w:p w:rsidR="00260885" w:rsidRDefault="00260885" w:rsidP="00260885">
      <w:pPr>
        <w:pStyle w:val="a3"/>
        <w:numPr>
          <w:ilvl w:val="0"/>
          <w:numId w:val="3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عقدة السّواد في معلقة عنترة.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4A0"/>
      </w:tblPr>
      <w:tblGrid>
        <w:gridCol w:w="9242"/>
      </w:tblGrid>
      <w:tr w:rsidR="00260885" w:rsidRPr="003A66EA" w:rsidTr="007141FC">
        <w:tc>
          <w:tcPr>
            <w:tcW w:w="9242" w:type="dxa"/>
            <w:shd w:val="clear" w:color="auto" w:fill="D9D9D9"/>
          </w:tcPr>
          <w:p w:rsidR="00260885" w:rsidRPr="003E55A9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0"/>
                <w:szCs w:val="30"/>
                <w:rtl/>
                <w:lang w:bidi="ar-JO"/>
              </w:rPr>
            </w:pPr>
            <w:r w:rsidRPr="003E55A9">
              <w:rPr>
                <w:rFonts w:cs="Simplified Arabic" w:hint="cs"/>
                <w:b/>
                <w:bCs/>
                <w:sz w:val="30"/>
                <w:szCs w:val="30"/>
                <w:rtl/>
                <w:lang w:bidi="ar-JO"/>
              </w:rPr>
              <w:t>ثامناً: كُتُب منشورة غير محكّمة مقرّرة في جامعة النجاح الوطنية وبعض الجامعات الفلسطينية</w:t>
            </w:r>
          </w:p>
        </w:tc>
      </w:tr>
    </w:tbl>
    <w:p w:rsidR="00260885" w:rsidRDefault="00260885" w:rsidP="00260885">
      <w:pPr>
        <w:pStyle w:val="a3"/>
        <w:numPr>
          <w:ilvl w:val="0"/>
          <w:numId w:val="4"/>
        </w:numPr>
        <w:jc w:val="both"/>
        <w:rPr>
          <w:rFonts w:cs="Simplified Arabic"/>
          <w:sz w:val="28"/>
          <w:szCs w:val="28"/>
          <w:lang w:bidi="ar-JO"/>
        </w:rPr>
      </w:pPr>
      <w:r w:rsidRPr="00571D1C">
        <w:rPr>
          <w:rFonts w:cs="Simplified Arabic" w:hint="cs"/>
          <w:b/>
          <w:bCs/>
          <w:sz w:val="28"/>
          <w:szCs w:val="28"/>
          <w:rtl/>
          <w:lang w:bidi="ar-JO"/>
        </w:rPr>
        <w:t>روائع من الأدب العربي</w:t>
      </w:r>
      <w:r>
        <w:rPr>
          <w:rFonts w:cs="Simplified Arabic" w:hint="cs"/>
          <w:sz w:val="28"/>
          <w:szCs w:val="28"/>
          <w:rtl/>
          <w:lang w:bidi="ar-JO"/>
        </w:rPr>
        <w:t>، يتناول بالدراسة والتحليل عشرين نصّا ونيّفا، من عصور الأدب العربي، تمثّل أجناساً أدبيّةً متعدّدة، مكتبة البخاري، نابلس، 2012.</w:t>
      </w:r>
    </w:p>
    <w:p w:rsidR="00260885" w:rsidRDefault="00260885" w:rsidP="00260885">
      <w:pPr>
        <w:pStyle w:val="a3"/>
        <w:numPr>
          <w:ilvl w:val="0"/>
          <w:numId w:val="4"/>
        </w:numPr>
        <w:jc w:val="both"/>
        <w:rPr>
          <w:rFonts w:cs="Simplified Arabic"/>
          <w:sz w:val="28"/>
          <w:szCs w:val="28"/>
          <w:lang w:bidi="ar-JO"/>
        </w:rPr>
      </w:pPr>
      <w:r w:rsidRPr="00571D1C">
        <w:rPr>
          <w:rFonts w:cs="Simplified Arabic" w:hint="cs"/>
          <w:b/>
          <w:bCs/>
          <w:sz w:val="28"/>
          <w:szCs w:val="28"/>
          <w:rtl/>
          <w:lang w:bidi="ar-JO"/>
        </w:rPr>
        <w:t>اللغة العربية ووسائل الإعلام</w:t>
      </w:r>
      <w:r>
        <w:rPr>
          <w:rFonts w:cs="Simplified Arabic" w:hint="cs"/>
          <w:sz w:val="28"/>
          <w:szCs w:val="28"/>
          <w:rtl/>
          <w:lang w:bidi="ar-JO"/>
        </w:rPr>
        <w:t>، يتناول نشأة وسائل الإعلام وتطورها، وتراجع أدائها اللغويّ، ورصد الأخطاء الصوتية والصرفيّة، والنحوية والدلالية التي تقع في تلك الوسائل، وسبل الارتقاء باللغة العربية في وسائل الإعلام العربية.</w:t>
      </w:r>
    </w:p>
    <w:p w:rsidR="00260885" w:rsidRPr="001B139D" w:rsidRDefault="00260885" w:rsidP="00260885">
      <w:pPr>
        <w:pStyle w:val="a3"/>
        <w:numPr>
          <w:ilvl w:val="0"/>
          <w:numId w:val="4"/>
        </w:numPr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تراجع الأَداءِ اللّغويّ في وسائل الإِعلام العربيّة،</w:t>
      </w:r>
      <w:r>
        <w:rPr>
          <w:rFonts w:cs="Simplified Arabic" w:hint="cs"/>
          <w:sz w:val="28"/>
          <w:szCs w:val="28"/>
          <w:rtl/>
          <w:lang w:bidi="ar-JO"/>
        </w:rPr>
        <w:t xml:space="preserve"> المكتبة التجارية، نابلس، 2015. وهو في أصله بحث محكّم، تمّ تطويره، ليصبح كتاباً.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4A0"/>
      </w:tblPr>
      <w:tblGrid>
        <w:gridCol w:w="9242"/>
      </w:tblGrid>
      <w:tr w:rsidR="00260885" w:rsidRPr="003A66EA" w:rsidTr="007141FC">
        <w:tc>
          <w:tcPr>
            <w:tcW w:w="9242" w:type="dxa"/>
            <w:shd w:val="clear" w:color="auto" w:fill="D9D9D9"/>
          </w:tcPr>
          <w:p w:rsidR="00260885" w:rsidRPr="003A66EA" w:rsidRDefault="00260885" w:rsidP="007141F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31"/>
                <w:szCs w:val="31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1"/>
                <w:szCs w:val="31"/>
                <w:rtl/>
                <w:lang w:bidi="ar-JO"/>
              </w:rPr>
              <w:t xml:space="preserve">تاسعاً: </w:t>
            </w:r>
            <w:r w:rsidRPr="003A66EA">
              <w:rPr>
                <w:rFonts w:cs="Simplified Arabic" w:hint="cs"/>
                <w:b/>
                <w:bCs/>
                <w:sz w:val="31"/>
                <w:szCs w:val="31"/>
                <w:rtl/>
                <w:lang w:bidi="ar-JO"/>
              </w:rPr>
              <w:t>كُتُب غير منشورة:</w:t>
            </w:r>
          </w:p>
        </w:tc>
      </w:tr>
    </w:tbl>
    <w:p w:rsidR="00260885" w:rsidRDefault="00260885" w:rsidP="00260885">
      <w:pPr>
        <w:pStyle w:val="a3"/>
        <w:numPr>
          <w:ilvl w:val="0"/>
          <w:numId w:val="16"/>
        </w:numPr>
        <w:spacing w:line="240" w:lineRule="auto"/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أصوات غاضبة متمردة</w:t>
      </w:r>
      <w:r>
        <w:rPr>
          <w:rFonts w:cs="Simplified Arabic" w:hint="cs"/>
          <w:sz w:val="28"/>
          <w:szCs w:val="28"/>
          <w:rtl/>
          <w:lang w:bidi="ar-JO"/>
        </w:rPr>
        <w:t xml:space="preserve">: طرفة بن العبد البكري، </w:t>
      </w:r>
      <w:proofErr w:type="spellStart"/>
      <w:r>
        <w:rPr>
          <w:rFonts w:cs="Simplified Arabic" w:hint="cs"/>
          <w:sz w:val="28"/>
          <w:szCs w:val="28"/>
          <w:rtl/>
          <w:lang w:bidi="ar-JO"/>
        </w:rPr>
        <w:t>الشّنفرى</w:t>
      </w:r>
      <w:proofErr w:type="spellEnd"/>
      <w:r>
        <w:rPr>
          <w:rFonts w:cs="Simplified Arabic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sz w:val="28"/>
          <w:szCs w:val="28"/>
          <w:rtl/>
          <w:lang w:bidi="ar-JO"/>
        </w:rPr>
        <w:t>الأزدي</w:t>
      </w:r>
      <w:proofErr w:type="spellEnd"/>
      <w:r>
        <w:rPr>
          <w:rFonts w:cs="Simplified Arabic" w:hint="cs"/>
          <w:sz w:val="28"/>
          <w:szCs w:val="28"/>
          <w:rtl/>
          <w:lang w:bidi="ar-JO"/>
        </w:rPr>
        <w:t>، عروة بن الورد.</w:t>
      </w:r>
    </w:p>
    <w:p w:rsidR="00260885" w:rsidRDefault="00260885" w:rsidP="00260885">
      <w:pPr>
        <w:pStyle w:val="a3"/>
        <w:numPr>
          <w:ilvl w:val="0"/>
          <w:numId w:val="16"/>
        </w:numPr>
        <w:spacing w:line="240" w:lineRule="auto"/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صوت الشاعر القديم</w:t>
      </w:r>
      <w:r w:rsidRPr="00D81124">
        <w:rPr>
          <w:rFonts w:cs="Simplified Arabic" w:hint="cs"/>
          <w:sz w:val="28"/>
          <w:szCs w:val="28"/>
          <w:rtl/>
          <w:lang w:bidi="ar-JO"/>
        </w:rPr>
        <w:t>.</w:t>
      </w:r>
    </w:p>
    <w:p w:rsidR="00260885" w:rsidRDefault="00260885" w:rsidP="00260885">
      <w:pPr>
        <w:pStyle w:val="a3"/>
        <w:numPr>
          <w:ilvl w:val="0"/>
          <w:numId w:val="16"/>
        </w:numPr>
        <w:spacing w:line="240" w:lineRule="auto"/>
        <w:jc w:val="both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نحو نسق منهجي لدراسة النصّ الشعري القديم</w:t>
      </w:r>
      <w:r w:rsidRPr="00D81124">
        <w:rPr>
          <w:rFonts w:cs="Simplified Arabic" w:hint="cs"/>
          <w:sz w:val="28"/>
          <w:szCs w:val="28"/>
          <w:rtl/>
          <w:lang w:bidi="ar-JO"/>
        </w:rPr>
        <w:t>.</w:t>
      </w:r>
    </w:p>
    <w:p w:rsidR="001D7221" w:rsidRDefault="001D7221">
      <w:pPr>
        <w:rPr>
          <w:lang w:bidi="ar-JO"/>
        </w:rPr>
      </w:pPr>
    </w:p>
    <w:sectPr w:rsidR="001D7221" w:rsidSect="00044360">
      <w:footerReference w:type="default" r:id="rId6"/>
      <w:pgSz w:w="11906" w:h="16838"/>
      <w:pgMar w:top="851" w:right="1440" w:bottom="709" w:left="1440" w:header="708" w:footer="29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1C" w:rsidRDefault="00260885">
    <w:pPr>
      <w:pStyle w:val="a4"/>
      <w:jc w:val="center"/>
    </w:pPr>
    <w:r>
      <w:rPr>
        <w:rFonts w:hint="cs"/>
        <w:rtl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Pr="00260885">
      <w:rPr>
        <w:rFonts w:cs="Calibri"/>
        <w:noProof/>
        <w:rtl/>
        <w:lang w:val="ar-SA"/>
      </w:rPr>
      <w:t>3</w:t>
    </w:r>
    <w:r>
      <w:fldChar w:fldCharType="end"/>
    </w:r>
    <w:r>
      <w:rPr>
        <w:rFonts w:hint="cs"/>
        <w:rtl/>
      </w:rPr>
      <w:t>-</w:t>
    </w:r>
  </w:p>
  <w:p w:rsidR="00571D1C" w:rsidRDefault="00260885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CBB"/>
    <w:multiLevelType w:val="hybridMultilevel"/>
    <w:tmpl w:val="5C74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454B8"/>
    <w:multiLevelType w:val="hybridMultilevel"/>
    <w:tmpl w:val="7D0C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0AE4"/>
    <w:multiLevelType w:val="hybridMultilevel"/>
    <w:tmpl w:val="16EA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7868"/>
    <w:multiLevelType w:val="hybridMultilevel"/>
    <w:tmpl w:val="16EA6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87474"/>
    <w:multiLevelType w:val="hybridMultilevel"/>
    <w:tmpl w:val="FBCC4E3C"/>
    <w:lvl w:ilvl="0" w:tplc="3C9C897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80C5270"/>
    <w:multiLevelType w:val="hybridMultilevel"/>
    <w:tmpl w:val="62CCB73C"/>
    <w:lvl w:ilvl="0" w:tplc="757230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17FD"/>
    <w:multiLevelType w:val="hybridMultilevel"/>
    <w:tmpl w:val="AE0469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4064C1"/>
    <w:multiLevelType w:val="hybridMultilevel"/>
    <w:tmpl w:val="A54CCDFA"/>
    <w:lvl w:ilvl="0" w:tplc="BC9A0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0355E"/>
    <w:multiLevelType w:val="hybridMultilevel"/>
    <w:tmpl w:val="0A7EEAE8"/>
    <w:lvl w:ilvl="0" w:tplc="12BAA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F7336"/>
    <w:multiLevelType w:val="hybridMultilevel"/>
    <w:tmpl w:val="A5D2FD82"/>
    <w:lvl w:ilvl="0" w:tplc="11DEAE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A3609"/>
    <w:multiLevelType w:val="hybridMultilevel"/>
    <w:tmpl w:val="1506E15A"/>
    <w:lvl w:ilvl="0" w:tplc="BC9A0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A113C"/>
    <w:multiLevelType w:val="hybridMultilevel"/>
    <w:tmpl w:val="0AA2591A"/>
    <w:lvl w:ilvl="0" w:tplc="BC9A0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3638D"/>
    <w:multiLevelType w:val="hybridMultilevel"/>
    <w:tmpl w:val="72C0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716F"/>
    <w:multiLevelType w:val="hybridMultilevel"/>
    <w:tmpl w:val="C77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567E9"/>
    <w:multiLevelType w:val="hybridMultilevel"/>
    <w:tmpl w:val="0C7094BE"/>
    <w:lvl w:ilvl="0" w:tplc="AD6EC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9172E"/>
    <w:multiLevelType w:val="hybridMultilevel"/>
    <w:tmpl w:val="B77C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2311C"/>
    <w:multiLevelType w:val="hybridMultilevel"/>
    <w:tmpl w:val="5C6032D6"/>
    <w:lvl w:ilvl="0" w:tplc="9BF4645A">
      <w:numFmt w:val="bullet"/>
      <w:lvlText w:val="-"/>
      <w:lvlJc w:val="left"/>
      <w:pPr>
        <w:ind w:left="2700" w:hanging="360"/>
      </w:pPr>
      <w:rPr>
        <w:rFonts w:ascii="Calibri" w:eastAsia="Calibri" w:hAnsi="Calibri" w:cs="Simplified Arabic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  <w:num w:numId="14">
    <w:abstractNumId w:val="10"/>
  </w:num>
  <w:num w:numId="15">
    <w:abstractNumId w:val="14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60885"/>
    <w:rsid w:val="001D7221"/>
    <w:rsid w:val="00260885"/>
    <w:rsid w:val="00C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8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8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60885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2608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26088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fathikhader@naja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2016-05-06T17:49:00Z</dcterms:created>
  <dcterms:modified xsi:type="dcterms:W3CDTF">2016-05-06T17:52:00Z</dcterms:modified>
</cp:coreProperties>
</file>