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4F82BE"/>
          <w:sz w:val="36"/>
          <w:szCs w:val="36"/>
        </w:rPr>
      </w:pPr>
      <w:r>
        <w:rPr>
          <w:rFonts w:ascii="TimesNewRomanPS-ItalicMT" w:cs="TimesNewRomanPS-ItalicMT"/>
          <w:i/>
          <w:iCs/>
          <w:color w:val="4F82BE"/>
          <w:sz w:val="36"/>
          <w:szCs w:val="36"/>
        </w:rPr>
        <w:t>Curriculum Vitae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4F82BE"/>
          <w:sz w:val="36"/>
          <w:szCs w:val="36"/>
        </w:rPr>
      </w:pPr>
      <w:r>
        <w:rPr>
          <w:rFonts w:ascii="TimesNewRomanPS-BoldMT" w:cs="TimesNewRomanPS-BoldMT"/>
          <w:b/>
          <w:bCs/>
          <w:color w:val="4F82BE"/>
          <w:sz w:val="36"/>
          <w:szCs w:val="36"/>
        </w:rPr>
        <w:t>Sultan Mahmoud Mosleh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Pediatric Hematologist / Oncologist</w:t>
      </w:r>
    </w:p>
    <w:p w:rsidR="00F61B5A" w:rsidRDefault="00874087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An-najah National University H</w:t>
      </w:r>
      <w:r w:rsidR="00AA0833">
        <w:rPr>
          <w:rFonts w:ascii="TimesNewRomanPS-BoldMT" w:cs="TimesNewRomanPS-BoldMT"/>
          <w:b/>
          <w:bCs/>
          <w:color w:val="000000"/>
          <w:sz w:val="30"/>
          <w:szCs w:val="30"/>
        </w:rPr>
        <w:t>ospital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Pediatric department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Pediatric hematology/oncology unit</w:t>
      </w:r>
    </w:p>
    <w:p w:rsidR="00F61B5A" w:rsidRDefault="00AA0833" w:rsidP="00AA0833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Nablus</w:t>
      </w:r>
    </w:p>
    <w:p w:rsidR="00F61B5A" w:rsidRDefault="00AA0833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 xml:space="preserve">Palestine </w:t>
      </w:r>
    </w:p>
    <w:p w:rsidR="00F61B5A" w:rsidRDefault="00AA0833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Phone #: 00970599717974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Email:Sultan_Musleh@yahoo.com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40"/>
          <w:szCs w:val="40"/>
        </w:rPr>
      </w:pPr>
      <w:r>
        <w:rPr>
          <w:rFonts w:ascii="TimesNewRomanPS-BoldItalicMT" w:cs="TimesNewRomanPS-BoldItalicMT"/>
          <w:b/>
          <w:bCs/>
          <w:i/>
          <w:iCs/>
          <w:color w:val="4F82BE"/>
          <w:sz w:val="40"/>
          <w:szCs w:val="40"/>
        </w:rPr>
        <w:t>Personal Information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Date of Birth: 21 December 1974</w:t>
      </w:r>
    </w:p>
    <w:p w:rsidR="00F61B5A" w:rsidRDefault="00F61B5A" w:rsidP="00AA0833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 xml:space="preserve">Place of work: </w:t>
      </w:r>
      <w:r w:rsidR="00AA0833">
        <w:rPr>
          <w:rFonts w:ascii="TimesNewRomanPS-BoldMT" w:cs="TimesNewRomanPS-BoldMT"/>
          <w:b/>
          <w:bCs/>
          <w:color w:val="000000"/>
          <w:sz w:val="30"/>
          <w:szCs w:val="30"/>
        </w:rPr>
        <w:t>An-najah National University Hospital (NNUH)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>Marital status: Married with 3 kids.</w:t>
      </w:r>
    </w:p>
    <w:p w:rsidR="00F61B5A" w:rsidRDefault="00F61B5A" w:rsidP="00397221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cs="TimesNewRomanPS-BoldMT"/>
          <w:b/>
          <w:bCs/>
          <w:color w:val="000000"/>
          <w:sz w:val="30"/>
          <w:szCs w:val="30"/>
        </w:rPr>
        <w:t xml:space="preserve">Nationality: </w:t>
      </w:r>
      <w:r w:rsidR="00397221">
        <w:rPr>
          <w:rFonts w:ascii="TimesNewRomanPS-BoldMT" w:cs="TimesNewRomanPS-BoldMT"/>
          <w:b/>
          <w:bCs/>
          <w:color w:val="000000"/>
          <w:sz w:val="30"/>
          <w:szCs w:val="30"/>
        </w:rPr>
        <w:t xml:space="preserve">Jordanian 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</w:pPr>
      <w:r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  <w:t>Education</w:t>
      </w:r>
    </w:p>
    <w:p w:rsidR="00F61B5A" w:rsidRPr="00344AED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 w:rsidRPr="00344AED">
        <w:rPr>
          <w:rFonts w:ascii="TimesNewRomanPS-BoldMT" w:cs="TimesNewRomanPS-BoldMT"/>
          <w:b/>
          <w:bCs/>
          <w:color w:val="000000"/>
          <w:sz w:val="24"/>
          <w:szCs w:val="24"/>
        </w:rPr>
        <w:t>Fellow of Pediatric Hematology/Oncology King Hussein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Cancer Center, Amman, Jordan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(8/2005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</w:rPr>
        <w:t>–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8/2008)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Fellow of Bone Marrow Transplant, King Hussein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Cancer Center, Amman, Jordan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(8/2008 </w:t>
      </w:r>
      <w:r>
        <w:rPr>
          <w:rFonts w:ascii="TimesNewRomanPS-BoldMT" w:cs="TimesNewRomanPS-BoldMT" w:hint="cs"/>
          <w:b/>
          <w:bCs/>
          <w:color w:val="000000"/>
          <w:sz w:val="26"/>
          <w:szCs w:val="26"/>
        </w:rPr>
        <w:t>–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2/2009)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Pediatric Residency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Resident in general pediatrics Al Makassed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Charitable Islamic Hospital, Jerusalem</w:t>
      </w:r>
    </w:p>
    <w:p w:rsidR="00AA0833" w:rsidRDefault="00F61B5A" w:rsidP="00AA0833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(8/2001 </w:t>
      </w:r>
      <w:r>
        <w:rPr>
          <w:rFonts w:ascii="TimesNewRomanPS-BoldMT" w:cs="TimesNewRomanPS-BoldMT" w:hint="cs"/>
          <w:b/>
          <w:bCs/>
          <w:color w:val="000000"/>
          <w:sz w:val="26"/>
          <w:szCs w:val="26"/>
        </w:rPr>
        <w:t>–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8/2005)</w:t>
      </w:r>
    </w:p>
    <w:p w:rsidR="00344AED" w:rsidRDefault="00344AED" w:rsidP="00AA0833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AA0833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Medical School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MBchB degree from university of Al-Mustansiriya,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Baghdad, Iraq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(7/1994 - 7/2000)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High School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The general secondary school certificate, Nablus, West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Bank. (1993)</w:t>
      </w: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lastRenderedPageBreak/>
        <w:t>Continuing</w:t>
      </w:r>
      <w:r w:rsidR="00344AED"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>Medical Education</w:t>
      </w:r>
      <w:r w:rsidR="00874087">
        <w:rPr>
          <w:rFonts w:ascii="TimesNewRomanPS-BoldItalicMT" w:cs="TimesNewRomanPS-BoldItalicMT"/>
          <w:b/>
          <w:bCs/>
          <w:i/>
          <w:iCs/>
          <w:color w:val="000000"/>
          <w:sz w:val="26"/>
          <w:szCs w:val="26"/>
        </w:rPr>
        <w:t>: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Attending National and International conferences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related to Pediatric Oncology, in addition to academic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activities within the Department of Pediatrics and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Oncology unit at Saad Hospital and KHCC.</w:t>
      </w: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</w:pPr>
      <w:r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  <w:t>Internship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11 months of clinical medical training at the Makkassed Islamic Hospital 2000.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</w:pPr>
      <w:r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  <w:t>Licenses and Certifications</w:t>
      </w:r>
    </w:p>
    <w:p w:rsidR="00F61B5A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Fellowship Certificate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in Pediatric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Hematology/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Oncology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King Hussien Cancer Center , Amman , Jordan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8/2005 to 8/2008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Fellowship certificate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in bone marrow and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stem cell transplant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King Hussien Cancer Center , Amman , Jordan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9/2008-3/2009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Board Certification in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Pediatrics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Jordan Medical Council , 2/ 2008</w:t>
      </w:r>
    </w:p>
    <w:p w:rsidR="00344AED" w:rsidRDefault="00344AED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Board certification in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Pediatrichematology /oncology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Jordan medical council 3/2009</w:t>
      </w:r>
    </w:p>
    <w:p w:rsidR="00344AED" w:rsidRDefault="00344AED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61B5A" w:rsidP="0087408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Master Degree in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Medicine and</w:t>
      </w:r>
      <w:r w:rsidR="00344AED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Surgery</w:t>
      </w:r>
      <w:r w:rsidR="00874087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University of Al-Mustansiriy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ah , Faculty of</w:t>
      </w:r>
      <w:r w:rsidR="00874087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Medici</w:t>
      </w:r>
      <w:r w:rsidR="00874087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ne and Surgery, Baghdad , Iraq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2000.</w:t>
      </w:r>
    </w:p>
    <w:p w:rsidR="00874087" w:rsidRDefault="00874087" w:rsidP="0087408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344AED" w:rsidRDefault="00F61B5A" w:rsidP="00344AED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</w:pPr>
      <w:r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  <w:t>Professional Experience</w:t>
      </w:r>
      <w:r w:rsidR="00874087"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  <w:t>:</w:t>
      </w:r>
    </w:p>
    <w:p w:rsidR="00874087" w:rsidRDefault="00874087" w:rsidP="00344AED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4F82BE"/>
          <w:sz w:val="32"/>
          <w:szCs w:val="32"/>
        </w:rPr>
      </w:pPr>
    </w:p>
    <w:p w:rsidR="00344AED" w:rsidRPr="00F045FA" w:rsidRDefault="00344AED" w:rsidP="00F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</w:pP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>Assistant professor at An-najah national university hospital 1/7/2013 till now</w:t>
      </w:r>
      <w:r w:rsid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>, Palestine -Nablus</w:t>
      </w:r>
    </w:p>
    <w:p w:rsidR="00F61B5A" w:rsidRPr="00F045FA" w:rsidRDefault="00344AED" w:rsidP="00F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000000" w:themeColor="text1"/>
          <w:sz w:val="32"/>
          <w:szCs w:val="32"/>
        </w:rPr>
      </w:pP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>Associated Consultant</w:t>
      </w: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F61B5A"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>Pediatric Hematologist-</w:t>
      </w: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F61B5A"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>Oncologist</w:t>
      </w:r>
    </w:p>
    <w:p w:rsidR="00344AED" w:rsidRPr="00F045FA" w:rsidRDefault="00F045FA" w:rsidP="00F045FA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  <w:r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at </w:t>
      </w:r>
      <w:r w:rsidR="00F61B5A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Saad Specialist Hospital, Department of</w:t>
      </w:r>
      <w:r w:rsidR="00344AED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 </w:t>
      </w:r>
      <w:r w:rsidR="00F61B5A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Pediatric Oncology,</w:t>
      </w:r>
    </w:p>
    <w:p w:rsidR="00F61B5A" w:rsidRPr="00F045FA" w:rsidRDefault="00F61B5A" w:rsidP="00F045FA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Al-Khobar, Saudi Arabia,</w:t>
      </w:r>
      <w:r w:rsidR="00344AED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 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feb 2010 </w:t>
      </w:r>
      <w:r w:rsidRPr="00F045FA">
        <w:rPr>
          <w:rFonts w:ascii="TimesNewRomanPS-BoldMT" w:cs="TimesNewRomanPS-BoldMT" w:hint="cs"/>
          <w:b/>
          <w:bCs/>
          <w:color w:val="000000" w:themeColor="text1"/>
          <w:sz w:val="26"/>
          <w:szCs w:val="26"/>
        </w:rPr>
        <w:t>–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 </w:t>
      </w:r>
      <w:r w:rsidR="00F045FA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july 2013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.</w:t>
      </w:r>
    </w:p>
    <w:p w:rsidR="00344AED" w:rsidRPr="00874087" w:rsidRDefault="00344AED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</w:p>
    <w:p w:rsidR="00F61B5A" w:rsidRPr="00F045FA" w:rsidRDefault="00F61B5A" w:rsidP="00F045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>Hematologist-</w:t>
      </w:r>
      <w:r w:rsidR="00344AED"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>Oncologist</w:t>
      </w:r>
      <w:r w:rsidR="00344AED"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Augusta Vi</w:t>
      </w:r>
      <w:r w:rsidR="00344AED"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ctoria Hospital (AVH), may 2009</w:t>
      </w:r>
      <w:r w:rsidRPr="00F045FA">
        <w:rPr>
          <w:rFonts w:ascii="TimesNewRomanPS-BoldMT" w:cs="TimesNewRomanPS-BoldMT" w:hint="cs"/>
          <w:b/>
          <w:bCs/>
          <w:color w:val="000000" w:themeColor="text1"/>
          <w:sz w:val="26"/>
          <w:szCs w:val="26"/>
        </w:rPr>
        <w:t>–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 xml:space="preserve"> feb</w:t>
      </w:r>
      <w:r w:rsidR="00344AED" w:rsidRPr="00F045FA"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F045FA">
        <w:rPr>
          <w:rFonts w:ascii="TimesNewRomanPS-BoldMT" w:cs="TimesNewRomanPS-BoldMT"/>
          <w:b/>
          <w:bCs/>
          <w:color w:val="000000" w:themeColor="text1"/>
          <w:sz w:val="26"/>
          <w:szCs w:val="26"/>
        </w:rPr>
        <w:t>2010.</w:t>
      </w:r>
    </w:p>
    <w:p w:rsidR="00F045FA" w:rsidRDefault="00F045F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</w:p>
    <w:p w:rsidR="00F045FA" w:rsidRDefault="00F045F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</w:p>
    <w:p w:rsidR="00F045FA" w:rsidRDefault="00F045F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</w:p>
    <w:p w:rsidR="00F045FA" w:rsidRPr="00874087" w:rsidRDefault="00F045FA" w:rsidP="00344AE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 w:themeColor="text1"/>
          <w:sz w:val="26"/>
          <w:szCs w:val="26"/>
        </w:rPr>
      </w:pPr>
    </w:p>
    <w:p w:rsidR="00344AED" w:rsidRPr="00874087" w:rsidRDefault="00344AED" w:rsidP="00344AED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000000" w:themeColor="text1"/>
          <w:sz w:val="26"/>
          <w:szCs w:val="26"/>
        </w:rPr>
      </w:pPr>
    </w:p>
    <w:p w:rsidR="00F045FA" w:rsidRDefault="00F045FA" w:rsidP="00F045F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</w:p>
    <w:p w:rsidR="00F045FA" w:rsidRDefault="00F045FA" w:rsidP="00F045F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>
        <w:rPr>
          <w:rFonts w:ascii="Arial-BoldMT" w:cs="Arial-BoldMT"/>
          <w:b/>
          <w:bCs/>
          <w:color w:val="000000"/>
          <w:sz w:val="32"/>
          <w:szCs w:val="32"/>
        </w:rPr>
        <w:lastRenderedPageBreak/>
        <w:t>Duties and responsibility:</w:t>
      </w: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>
        <w:rPr>
          <w:rFonts w:ascii="Arial-BoldMT" w:cs="Arial-BoldMT"/>
          <w:b/>
          <w:bCs/>
          <w:color w:val="000000"/>
          <w:sz w:val="32"/>
          <w:szCs w:val="32"/>
        </w:rPr>
        <w:t>1-Assistan professor and pediatric hematologist /oncologist at Al-Najah National University Hospital.</w:t>
      </w:r>
    </w:p>
    <w:p w:rsidR="00F61B5A" w:rsidRDefault="00F045FA" w:rsidP="00F045F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2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- Pediatric hematologist/oncologist and general pediatrician consultant at saad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hospital from 2/2010 till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july 2013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: full consultant privilege responsible from A to Z (from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the diagnosis till complete and comprehensive management),</w:t>
      </w:r>
    </w:p>
    <w:p w:rsidR="00F61B5A" w:rsidRDefault="00F61B5A" w:rsidP="00F045F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At Saad hospital I established new hematology and oncology unit , in addition to daily</w:t>
      </w:r>
      <w:r w:rsidR="00F045FA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full hematology and oncology clinic( 12 patients per day), apart from daily on call 24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hours at home for last 2 years ,also I covered daily clinic and inpatient general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>pediatric cases.</w:t>
      </w:r>
    </w:p>
    <w:p w:rsidR="00F61B5A" w:rsidRDefault="00F045F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3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- All kinds of procedure related to pediatric hematology/oncology including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intrathecal chemotherapy and bone marrow biopsy.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045F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4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- consultant responsibility at Augusta Victoria Hospital/ Jerusalem from may 2009 till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2/2010 : diagnosis and management of all pediatric hematology and oncology cases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based on updated and recent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international protocols and guidelines in addition to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coverage of pediatric oncology and hematology ICU cases with daily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hematology/oncology clinic for 5 days per week.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045FA" w:rsidP="00F045F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>5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- bone marrow and stem cell transplantation fellowship at king hussien cancer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center : daily duties and taking care with co-management of all cases in the BMT unit</w:t>
      </w:r>
      <w:r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in addition to daily clinic coverage.</w:t>
      </w:r>
    </w:p>
    <w:p w:rsidR="00FF257C" w:rsidRDefault="00FF257C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Default="00F045F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6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- 3 years pediatric hematology and oncology fellowship. Full responsibility as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fellow with rotation in all services including the BMT AND PICU with 2</w:t>
      </w:r>
      <w:r w:rsidR="00FF257C">
        <w:rPr>
          <w:rFonts w:asci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6"/>
          <w:szCs w:val="26"/>
        </w:rPr>
        <w:t>weeks on call every 1 to 2 months.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6"/>
          <w:szCs w:val="26"/>
        </w:rPr>
      </w:pPr>
    </w:p>
    <w:p w:rsidR="00F61B5A" w:rsidRPr="00FF257C" w:rsidRDefault="00F61B5A" w:rsidP="00F61B5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FF257C">
        <w:rPr>
          <w:rFonts w:ascii="Arial-BoldMT" w:cs="Arial-BoldMT"/>
          <w:b/>
          <w:bCs/>
          <w:color w:val="000000"/>
          <w:sz w:val="32"/>
          <w:szCs w:val="32"/>
        </w:rPr>
        <w:t>Workshops And Conferences:</w:t>
      </w: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Fourth regional congress of cancer and blood disorders of childhood, Amman,Jordan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11/2012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The best of St. jude internatinal 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outreach programme, Dammam, KSA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2011</w:t>
      </w:r>
    </w:p>
    <w:p w:rsidR="00F61B5A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 w:rsidR="00F61B5A">
        <w:rPr>
          <w:rFonts w:ascii="TimesNewRomanPS-BoldMT" w:cs="TimesNewRomanPS-BoldMT"/>
          <w:b/>
          <w:bCs/>
          <w:color w:val="000000"/>
          <w:sz w:val="24"/>
          <w:szCs w:val="24"/>
        </w:rPr>
        <w:t>KHCC 17</w:t>
      </w:r>
      <w:r w:rsidR="00F61B5A">
        <w:rPr>
          <w:rFonts w:ascii="TimesNewRomanPS-BoldMT" w:cs="TimesNewRomanPS-BoldMT"/>
          <w:b/>
          <w:bCs/>
          <w:color w:val="000000"/>
          <w:sz w:val="14"/>
          <w:szCs w:val="14"/>
        </w:rPr>
        <w:t xml:space="preserve">TH </w:t>
      </w:r>
      <w:r w:rsidR="00F61B5A">
        <w:rPr>
          <w:rFonts w:ascii="TimesNewRomanPS-BoldMT" w:cs="TimesNewRomanPS-BoldMT"/>
          <w:b/>
          <w:bCs/>
          <w:color w:val="000000"/>
          <w:sz w:val="24"/>
          <w:szCs w:val="24"/>
        </w:rPr>
        <w:t>International conference: infection in immunocompromised cancer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4"/>
          <w:szCs w:val="24"/>
        </w:rPr>
        <w:t>patients,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 w:rsidR="00F61B5A">
        <w:rPr>
          <w:rFonts w:ascii="TimesNewRomanPS-BoldMT" w:cs="TimesNewRomanPS-BoldMT"/>
          <w:b/>
          <w:bCs/>
          <w:color w:val="000000"/>
          <w:sz w:val="24"/>
          <w:szCs w:val="24"/>
        </w:rPr>
        <w:t>Amman, Jordan, (August 2009)</w:t>
      </w:r>
    </w:p>
    <w:p w:rsidR="00FF257C" w:rsidRP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OpenSymbol" w:cs="OpenSymbol"/>
          <w:color w:val="000000"/>
          <w:sz w:val="24"/>
          <w:szCs w:val="24"/>
        </w:rPr>
      </w:pP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The seventh MECCA group meeting in collaboration with Turkish pediatric group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held in Istanbul, (February 2009).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The Fifth SIOP Asia Conference held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in Sultan Qaboos University in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association with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Sixth MECCA group meeting, (February 2008).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lastRenderedPageBreak/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The Second Jordanian Pediatric Hematology/Oncology Congress, Held by the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Jordanian Society of Pediatric Hem/Onc. in collaboration with King Hussein Cancer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Center, (September 2007).</w:t>
      </w: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OpenSymbol" w:cs="OpenSymbol" w:hint="cs"/>
          <w:color w:val="000000"/>
          <w:sz w:val="24"/>
          <w:szCs w:val="24"/>
        </w:rPr>
        <w:t>•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First regional congress of pediatric hematology/oncology, held in Amman, Jordan,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OpenSymbol" w:cs="OpenSymbol"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(August 2005).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6"/>
          <w:szCs w:val="26"/>
        </w:rPr>
      </w:pPr>
      <w:r>
        <w:rPr>
          <w:rFonts w:ascii="Arial-BoldMT" w:cs="Arial-BoldMT"/>
          <w:b/>
          <w:bCs/>
          <w:color w:val="000000"/>
          <w:sz w:val="26"/>
          <w:szCs w:val="26"/>
        </w:rPr>
        <w:t>Publication</w:t>
      </w:r>
    </w:p>
    <w:p w:rsidR="00F61B5A" w:rsidRDefault="00F61B5A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Cord blood transplantation at king Hussien Cancer Center : an evolving experience</w:t>
      </w:r>
      <w:r w:rsidR="00FF257C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in a newly developed programme.</w:t>
      </w: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F257C" w:rsidRDefault="00FF257C" w:rsidP="00FF257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Memberships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Jordan Medical Association.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Middle East Childhood Cancer Alliance (MECCA).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SIOP member</w:t>
      </w:r>
    </w:p>
    <w:p w:rsidR="00F045FA" w:rsidRDefault="00F045F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POEM group member</w:t>
      </w:r>
    </w:p>
    <w:p w:rsidR="00FF257C" w:rsidRDefault="00FF257C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6"/>
          <w:szCs w:val="26"/>
        </w:rPr>
      </w:pPr>
      <w:r>
        <w:rPr>
          <w:rFonts w:ascii="Arial-BoldMT" w:cs="Arial-BoldMT"/>
          <w:b/>
          <w:bCs/>
          <w:color w:val="000000"/>
          <w:sz w:val="26"/>
          <w:szCs w:val="26"/>
        </w:rPr>
        <w:t>References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Sahar Al-Dossary</w:t>
      </w:r>
      <w:r>
        <w:rPr>
          <w:rFonts w:asci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MD. Chief of pediatric department , Saad Specialist Hospital, KSA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mobile 0508502020.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Mahmoud Sarhan, MD. Professor of pediatric hematology/oncology and BMT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King Hussein Cancer Center, Jordan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Fares Madanat, MD</w:t>
      </w:r>
      <w:r>
        <w:rPr>
          <w:rFonts w:asci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Professor pediatric hematologist/oncologist , King Hussein Cancer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Center., Jordan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Mohammad Jarrar, MD Consultant, Pediatric Hematology-Oncology&amp; Stem Cell Transplant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King Abdulaziz Medical City - Riyadh , Kingdom of Saudi Arabia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mobile 0566378676</w:t>
      </w:r>
    </w:p>
    <w:p w:rsidR="00F61B5A" w:rsidRDefault="00F61B5A" w:rsidP="00F61B5A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Iyad Sultan, MD</w:t>
      </w:r>
      <w:r>
        <w:rPr>
          <w:rFonts w:asci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Chief of pediatric department and pediatric hemartology and oncology</w:t>
      </w:r>
    </w:p>
    <w:p w:rsidR="00676E88" w:rsidRDefault="00F61B5A" w:rsidP="00F61B5A">
      <w:r>
        <w:rPr>
          <w:rFonts w:ascii="TimesNewRomanPS-BoldMT" w:cs="TimesNewRomanPS-BoldMT"/>
          <w:b/>
          <w:bCs/>
          <w:color w:val="000000"/>
          <w:sz w:val="24"/>
          <w:szCs w:val="24"/>
        </w:rPr>
        <w:t>consultant., King Hussein Cancer Center, Jordan.</w:t>
      </w:r>
    </w:p>
    <w:sectPr w:rsidR="00676E88" w:rsidSect="00676E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Italic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OpenSymbol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5739B"/>
    <w:multiLevelType w:val="hybridMultilevel"/>
    <w:tmpl w:val="C99A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61B5A"/>
    <w:rsid w:val="00344AED"/>
    <w:rsid w:val="00397221"/>
    <w:rsid w:val="00676E88"/>
    <w:rsid w:val="00874087"/>
    <w:rsid w:val="009E6DB6"/>
    <w:rsid w:val="00AA0833"/>
    <w:rsid w:val="00F045FA"/>
    <w:rsid w:val="00F61B5A"/>
    <w:rsid w:val="00F74210"/>
    <w:rsid w:val="00FA315E"/>
    <w:rsid w:val="00FF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mico</cp:lastModifiedBy>
  <cp:revision>2</cp:revision>
  <dcterms:created xsi:type="dcterms:W3CDTF">2014-08-31T07:15:00Z</dcterms:created>
  <dcterms:modified xsi:type="dcterms:W3CDTF">2014-08-31T07:15:00Z</dcterms:modified>
</cp:coreProperties>
</file>